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80FFE">
      <w:pPr>
        <w:rPr>
          <w:rFonts w:ascii="Times New Roman" w:hAnsi="Times New Roman" w:cs="Times New Roman"/>
          <w:color w:val="FF0000"/>
          <w:sz w:val="36"/>
          <w:szCs w:val="36"/>
          <w:lang w:val="kk-KZ"/>
        </w:rPr>
      </w:pPr>
      <w:bookmarkStart w:id="0" w:name="_Hlk176949548"/>
      <w:r>
        <w:rPr>
          <w:rFonts w:ascii="Times New Roman" w:hAnsi="Times New Roman" w:cs="Times New Roman"/>
          <w:color w:val="FF0000"/>
          <w:sz w:val="36"/>
          <w:szCs w:val="36"/>
          <w:highlight w:val="green"/>
          <w:lang w:val="kk-KZ"/>
        </w:rPr>
        <w:t>9 Дәріс</w:t>
      </w:r>
      <w:r>
        <w:rPr>
          <w:rFonts w:ascii="Times New Roman" w:hAnsi="Times New Roman" w:cs="Times New Roman"/>
          <w:color w:val="FF0000"/>
          <w:sz w:val="36"/>
          <w:szCs w:val="36"/>
          <w:lang w:val="kk-KZ"/>
        </w:rPr>
        <w:t xml:space="preserve"> </w:t>
      </w:r>
      <w:r>
        <w:rPr>
          <w:rFonts w:ascii="Times New Roman" w:hAnsi="Times New Roman" w:cs="Times New Roman"/>
          <w:color w:val="FF0000"/>
          <w:sz w:val="36"/>
          <w:szCs w:val="36"/>
        </w:rPr>
        <w:t>Латын Америкасы (Аргентина,Бразилия,  Боливия,  Венесуэла, Мексика, Парагвай,   Чили мемлекеттерінің технологиялық саясатының модельдері</w:t>
      </w:r>
    </w:p>
    <w:p w14:paraId="673A6162">
      <w:pPr>
        <w:rPr>
          <w:rFonts w:ascii="Times New Roman" w:hAnsi="Times New Roman" w:cs="Times New Roman"/>
          <w:color w:val="FF0000"/>
          <w:sz w:val="36"/>
          <w:szCs w:val="36"/>
          <w:lang w:val="kk-KZ"/>
        </w:rPr>
      </w:pPr>
      <w:r>
        <w:rPr>
          <w:rFonts w:ascii="Times New Roman" w:hAnsi="Times New Roman" w:cs="Times New Roman"/>
          <w:color w:val="FF0000"/>
          <w:sz w:val="36"/>
          <w:szCs w:val="36"/>
          <w:lang w:val="kk-KZ"/>
        </w:rPr>
        <w:t>Сұрақтар:</w:t>
      </w:r>
    </w:p>
    <w:p w14:paraId="45B6CBD6">
      <w:pPr>
        <w:rPr>
          <w:rFonts w:ascii="Times New Roman" w:hAnsi="Times New Roman" w:cs="Times New Roman"/>
          <w:color w:val="FF0000"/>
          <w:sz w:val="36"/>
          <w:szCs w:val="36"/>
          <w:lang w:val="kk-KZ"/>
        </w:rPr>
      </w:pPr>
      <w:r>
        <w:rPr>
          <w:rFonts w:ascii="Times New Roman" w:hAnsi="Times New Roman" w:cs="Times New Roman"/>
          <w:color w:val="FF0000"/>
          <w:sz w:val="36"/>
          <w:szCs w:val="36"/>
          <w:lang w:val="kk-KZ"/>
        </w:rPr>
        <w:t>1.</w:t>
      </w:r>
      <w:r>
        <w:rPr>
          <w:rFonts w:ascii="Times New Roman" w:hAnsi="Times New Roman" w:cs="Times New Roman"/>
          <w:color w:val="FF0000"/>
          <w:sz w:val="36"/>
          <w:szCs w:val="36"/>
        </w:rPr>
        <w:t xml:space="preserve"> </w:t>
      </w:r>
      <w:r>
        <w:rPr>
          <w:rFonts w:ascii="Times New Roman" w:hAnsi="Times New Roman" w:cs="Times New Roman"/>
          <w:color w:val="FF0000"/>
          <w:sz w:val="36"/>
          <w:szCs w:val="36"/>
          <w:lang w:val="kk-KZ"/>
        </w:rPr>
        <w:t xml:space="preserve"> </w:t>
      </w:r>
      <w:r>
        <w:rPr>
          <w:rFonts w:ascii="Times New Roman" w:hAnsi="Times New Roman" w:cs="Times New Roman"/>
          <w:color w:val="FF0000"/>
          <w:sz w:val="36"/>
          <w:szCs w:val="36"/>
        </w:rPr>
        <w:t>Аргентина,Бразилия,  Боливия,  Венесуэла</w:t>
      </w:r>
      <w:r>
        <w:rPr>
          <w:rFonts w:ascii="Times New Roman" w:hAnsi="Times New Roman" w:cs="Times New Roman"/>
          <w:color w:val="FF0000"/>
          <w:sz w:val="36"/>
          <w:szCs w:val="36"/>
          <w:lang w:val="kk-KZ"/>
        </w:rPr>
        <w:t xml:space="preserve">   </w:t>
      </w:r>
      <w:r>
        <w:rPr>
          <w:rFonts w:ascii="Times New Roman" w:hAnsi="Times New Roman" w:cs="Times New Roman"/>
          <w:color w:val="FF0000"/>
          <w:sz w:val="36"/>
          <w:szCs w:val="36"/>
        </w:rPr>
        <w:t>мемлекеттерінің технологиялық саясатының модельдері</w:t>
      </w:r>
    </w:p>
    <w:p w14:paraId="10B6A56A">
      <w:pPr>
        <w:rPr>
          <w:rFonts w:ascii="Times New Roman" w:hAnsi="Times New Roman" w:cs="Times New Roman"/>
          <w:color w:val="FF0000"/>
          <w:sz w:val="36"/>
          <w:szCs w:val="36"/>
          <w:lang w:val="kk-KZ"/>
        </w:rPr>
      </w:pPr>
      <w:r>
        <w:rPr>
          <w:rFonts w:ascii="Times New Roman" w:hAnsi="Times New Roman" w:cs="Times New Roman"/>
          <w:color w:val="FF0000"/>
          <w:sz w:val="36"/>
          <w:szCs w:val="36"/>
          <w:lang w:val="kk-KZ"/>
        </w:rPr>
        <w:t>2.</w:t>
      </w:r>
      <w:r>
        <w:rPr>
          <w:rFonts w:ascii="Times New Roman" w:hAnsi="Times New Roman" w:cs="Times New Roman"/>
          <w:color w:val="FF0000"/>
          <w:sz w:val="36"/>
          <w:szCs w:val="36"/>
        </w:rPr>
        <w:t xml:space="preserve"> </w:t>
      </w:r>
      <w:r>
        <w:rPr>
          <w:rFonts w:ascii="Times New Roman" w:hAnsi="Times New Roman" w:cs="Times New Roman"/>
          <w:color w:val="FF0000"/>
          <w:sz w:val="36"/>
          <w:szCs w:val="36"/>
          <w:lang w:val="kk-KZ"/>
        </w:rPr>
        <w:t xml:space="preserve">   </w:t>
      </w:r>
      <w:r>
        <w:rPr>
          <w:rFonts w:ascii="Times New Roman" w:hAnsi="Times New Roman" w:cs="Times New Roman"/>
          <w:color w:val="FF0000"/>
          <w:sz w:val="36"/>
          <w:szCs w:val="36"/>
        </w:rPr>
        <w:t>Мексика, Парагвай,   Чили мемлекеттерінің технологиялық саясатының модельдері</w:t>
      </w:r>
    </w:p>
    <w:p w14:paraId="49F490B9">
      <w:pPr>
        <w:rPr>
          <w:rFonts w:ascii="Times New Roman" w:hAnsi="Times New Roman" w:cs="Times New Roman"/>
          <w:color w:val="FF0000"/>
          <w:sz w:val="36"/>
          <w:szCs w:val="36"/>
          <w:lang w:val="kk-KZ"/>
        </w:rPr>
      </w:pPr>
      <w:r>
        <w:rPr>
          <w:rFonts w:ascii="Times New Roman" w:hAnsi="Times New Roman" w:cs="Times New Roman"/>
          <w:color w:val="FF0000"/>
          <w:sz w:val="36"/>
          <w:szCs w:val="36"/>
          <w:highlight w:val="yellow"/>
          <w:lang w:val="kk-KZ"/>
        </w:rPr>
        <w:t>Мақсаты:</w:t>
      </w:r>
      <w:r>
        <w:rPr>
          <w:rFonts w:ascii="Times New Roman" w:hAnsi="Times New Roman" w:cs="Times New Roman"/>
          <w:color w:val="FF0000"/>
          <w:sz w:val="36"/>
          <w:szCs w:val="36"/>
          <w:lang w:val="kk-KZ"/>
        </w:rPr>
        <w:t xml:space="preserve"> докторанттарға     Латын Америкасы (Аргентина,Бразилия,  Боливия,  Венесуэла, Мексика, Парагвай,   Чили мемлекеттерінің технологиялық саясатының модельдері                                            жан-жақты түсіндіру</w:t>
      </w:r>
    </w:p>
    <w:bookmarkEnd w:id="0"/>
    <w:p w14:paraId="42EDBC32">
      <w:pPr>
        <w:spacing w:after="0"/>
        <w:jc w:val="both"/>
        <w:rPr>
          <w:rFonts w:cs="Times New Roman"/>
          <w:szCs w:val="28"/>
          <w:lang w:val="kk-KZ"/>
        </w:rPr>
      </w:pPr>
      <w:r>
        <w:rPr>
          <w:rFonts w:cs="Times New Roman"/>
          <w:szCs w:val="28"/>
          <w:lang w:val="kk-KZ"/>
        </w:rPr>
        <w:t>1) Латын Америкасы (Аргентина,Бразилия,  Боливия,  Венесуэла, Мексика, Парагвай,   Чили) елдеріндегі жергілікті басқару жүйесі</w:t>
      </w:r>
    </w:p>
    <w:p w14:paraId="3559B04B">
      <w:pPr>
        <w:spacing w:after="0"/>
        <w:jc w:val="both"/>
        <w:rPr>
          <w:rFonts w:cs="Times New Roman"/>
          <w:szCs w:val="28"/>
          <w:lang w:val="kk-KZ"/>
        </w:rPr>
      </w:pPr>
      <w:r>
        <w:rPr>
          <w:rFonts w:cs="Times New Roman"/>
          <w:szCs w:val="28"/>
          <w:lang w:val="kk-KZ"/>
        </w:rPr>
        <w:t xml:space="preserve">                2) Латын Америкасы мемлекеттеріндегі  жергілікті  басқару жүйесінің ерекшеліктері</w:t>
      </w:r>
    </w:p>
    <w:p w14:paraId="74BC5D0B">
      <w:pPr>
        <w:jc w:val="both"/>
        <w:rPr>
          <w:lang w:val="kk-KZ"/>
        </w:rPr>
      </w:pPr>
      <w:r>
        <w:rPr>
          <w:b/>
          <w:bCs/>
          <w:lang w:val="kk-KZ"/>
        </w:rPr>
        <w:t>Дәрістің мақсаты</w:t>
      </w:r>
      <w:r>
        <w:rPr>
          <w:lang w:val="kk-KZ"/>
        </w:rPr>
        <w:t xml:space="preserve"> – </w:t>
      </w:r>
      <w:r>
        <w:rPr>
          <w:szCs w:val="28"/>
          <w:lang w:val="kk-KZ"/>
        </w:rPr>
        <w:t xml:space="preserve">магистранттарға  </w:t>
      </w:r>
      <w:r>
        <w:rPr>
          <w:rFonts w:cs="Times New Roman"/>
          <w:szCs w:val="28"/>
          <w:lang w:val="kk-KZ"/>
        </w:rPr>
        <w:t xml:space="preserve">Латын Америкасы (Аргентина,Бразилия,  Боливия,  Венесуэла, Мексика, Парагвай,   Чили) елдеріндегі жергілікті басқару жүйесінің модельдерін </w:t>
      </w:r>
      <w:r>
        <w:rPr>
          <w:color w:val="000000"/>
          <w:spacing w:val="2"/>
          <w:szCs w:val="28"/>
          <w:lang w:val="kk-KZ" w:eastAsia="ru-RU"/>
        </w:rPr>
        <w:t xml:space="preserve">жан-жақты жүйелі талдау және ой-тұжырымдар жасау </w:t>
      </w:r>
    </w:p>
    <w:p w14:paraId="381A2755">
      <w:pPr>
        <w:pStyle w:val="16"/>
        <w:shd w:val="clear" w:color="auto" w:fill="FFFFFF"/>
        <w:spacing w:before="120" w:beforeAutospacing="0" w:after="120" w:afterAutospacing="0"/>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Латын Америкасы</w:t>
      </w:r>
      <w:r>
        <w:rPr>
          <w:color w:val="000000" w:themeColor="text1"/>
          <w:sz w:val="28"/>
          <w:szCs w:val="28"/>
          <w:lang w:val="kk-KZ"/>
          <w14:textFill>
            <w14:solidFill>
              <w14:schemeClr w14:val="tx1"/>
            </w14:solidFill>
          </w14:textFill>
        </w:rPr>
        <w:t> — </w:t>
      </w:r>
      <w:r>
        <w:fldChar w:fldCharType="begin"/>
      </w:r>
      <w:r>
        <w:instrText xml:space="preserve"> HYPERLINK "https://kk.wikipedia.org/wiki/%D0%A1%D0%BE%D0%BB%D1%82%D2%AF%D1%81%D1%82%D1%96%D0%BA_%D0%90%D0%BC%D0%B5%D1%80%D0%B8%D0%BA%D0%B0" \o "Солтүстік Америка" </w:instrText>
      </w:r>
      <w:r>
        <w:fldChar w:fldCharType="separate"/>
      </w:r>
      <w:r>
        <w:rPr>
          <w:rStyle w:val="14"/>
          <w:color w:val="000000" w:themeColor="text1"/>
          <w:sz w:val="28"/>
          <w:szCs w:val="28"/>
          <w:lang w:val="kk-KZ"/>
          <w14:textFill>
            <w14:solidFill>
              <w14:schemeClr w14:val="tx1"/>
            </w14:solidFill>
          </w14:textFill>
        </w:rPr>
        <w:t>Солтүстік Американың</w:t>
      </w:r>
      <w:r>
        <w:rPr>
          <w:rStyle w:val="14"/>
          <w:color w:val="000000" w:themeColor="text1"/>
          <w:sz w:val="28"/>
          <w:szCs w:val="28"/>
          <w:lang w:val="kk-KZ"/>
          <w14:textFill>
            <w14:solidFill>
              <w14:schemeClr w14:val="tx1"/>
            </w14:solidFill>
          </w14:textFill>
        </w:rPr>
        <w:fldChar w:fldCharType="end"/>
      </w:r>
      <w:r>
        <w:rPr>
          <w:color w:val="000000" w:themeColor="text1"/>
          <w:sz w:val="28"/>
          <w:szCs w:val="28"/>
          <w:lang w:val="kk-KZ"/>
          <w14:textFill>
            <w14:solidFill>
              <w14:schemeClr w14:val="tx1"/>
            </w14:solidFill>
          </w14:textFill>
        </w:rPr>
        <w:t> оңтүстік бөлiгi (</w:t>
      </w:r>
      <w:r>
        <w:rPr>
          <w:color w:val="000000" w:themeColor="text1"/>
          <w:sz w:val="28"/>
          <w:szCs w:val="28"/>
          <w14:textFill>
            <w14:solidFill>
              <w14:schemeClr w14:val="tx1"/>
            </w14:solidFill>
          </w14:textFill>
        </w:rPr>
        <w:fldChar w:fldCharType="begin"/>
      </w:r>
      <w:r>
        <w:rPr>
          <w:color w:val="000000" w:themeColor="text1"/>
          <w:sz w:val="28"/>
          <w:szCs w:val="28"/>
          <w:lang w:val="kk-KZ"/>
          <w14:textFill>
            <w14:solidFill>
              <w14:schemeClr w14:val="tx1"/>
            </w14:solidFill>
          </w14:textFill>
        </w:rPr>
        <w:instrText xml:space="preserve"> HYPERLINK "https://kk.wikipedia.org/wiki/%D0%A0%D0%B8%D0%BE-%D0%91%D1%80%D0%B0%D0%B2%D0%BE-%D0%B4%D0%B5%D0%BB%D1%8C-%D0%9D%D0%BE%D1%80%D1%82%D0%B5" \o "Рио-Браво-дель-Норте" </w:instrText>
      </w:r>
      <w:r>
        <w:rPr>
          <w:color w:val="000000" w:themeColor="text1"/>
          <w:sz w:val="28"/>
          <w:szCs w:val="28"/>
          <w14:textFill>
            <w14:solidFill>
              <w14:schemeClr w14:val="tx1"/>
            </w14:solidFill>
          </w14:textFill>
        </w:rPr>
        <w:fldChar w:fldCharType="separate"/>
      </w:r>
      <w:r>
        <w:rPr>
          <w:rStyle w:val="14"/>
          <w:color w:val="000000" w:themeColor="text1"/>
          <w:sz w:val="28"/>
          <w:szCs w:val="28"/>
          <w:lang w:val="kk-KZ"/>
          <w14:textFill>
            <w14:solidFill>
              <w14:schemeClr w14:val="tx1"/>
            </w14:solidFill>
          </w14:textFill>
        </w:rPr>
        <w:t>Рио-Браво-дель-Норте</w:t>
      </w:r>
      <w:r>
        <w:rPr>
          <w:color w:val="000000" w:themeColor="text1"/>
          <w:sz w:val="28"/>
          <w:szCs w:val="28"/>
          <w14:textFill>
            <w14:solidFill>
              <w14:schemeClr w14:val="tx1"/>
            </w14:solidFill>
          </w14:textFill>
        </w:rPr>
        <w:fldChar w:fldCharType="end"/>
      </w:r>
      <w:r>
        <w:rPr>
          <w:color w:val="000000" w:themeColor="text1"/>
          <w:sz w:val="28"/>
          <w:szCs w:val="28"/>
          <w:lang w:val="kk-KZ"/>
          <w14:textFill>
            <w14:solidFill>
              <w14:schemeClr w14:val="tx1"/>
            </w14:solidFill>
          </w14:textFill>
        </w:rPr>
        <w:t> өзенінің оңтүстігінен бастап бүкiл </w:t>
      </w:r>
      <w:r>
        <w:rPr>
          <w:color w:val="000000" w:themeColor="text1"/>
          <w:sz w:val="28"/>
          <w:szCs w:val="28"/>
          <w14:textFill>
            <w14:solidFill>
              <w14:schemeClr w14:val="tx1"/>
            </w14:solidFill>
          </w14:textFill>
        </w:rPr>
        <w:fldChar w:fldCharType="begin"/>
      </w:r>
      <w:r>
        <w:rPr>
          <w:color w:val="000000" w:themeColor="text1"/>
          <w:sz w:val="28"/>
          <w:szCs w:val="28"/>
          <w:lang w:val="kk-KZ"/>
          <w14:textFill>
            <w14:solidFill>
              <w14:schemeClr w14:val="tx1"/>
            </w14:solidFill>
          </w14:textFill>
        </w:rPr>
        <w:instrText xml:space="preserve"> HYPERLINK "https://kk.wikipedia.org/wiki/%D0%9E%D1%80%D1%82%D0%B0%D0%BB%D1%8B%D2%9B_%D0%90%D0%BC%D0%B5%D1%80%D0%B8%D0%BA%D0%B0" \o "Орталық Америка" </w:instrText>
      </w:r>
      <w:r>
        <w:rPr>
          <w:color w:val="000000" w:themeColor="text1"/>
          <w:sz w:val="28"/>
          <w:szCs w:val="28"/>
          <w14:textFill>
            <w14:solidFill>
              <w14:schemeClr w14:val="tx1"/>
            </w14:solidFill>
          </w14:textFill>
        </w:rPr>
        <w:fldChar w:fldCharType="separate"/>
      </w:r>
      <w:r>
        <w:rPr>
          <w:rStyle w:val="14"/>
          <w:color w:val="000000" w:themeColor="text1"/>
          <w:sz w:val="28"/>
          <w:szCs w:val="28"/>
          <w:lang w:val="kk-KZ"/>
          <w14:textFill>
            <w14:solidFill>
              <w14:schemeClr w14:val="tx1"/>
            </w14:solidFill>
          </w14:textFill>
        </w:rPr>
        <w:t>Орталық Америка</w:t>
      </w:r>
      <w:r>
        <w:rPr>
          <w:color w:val="000000" w:themeColor="text1"/>
          <w:sz w:val="28"/>
          <w:szCs w:val="28"/>
          <w14:textFill>
            <w14:solidFill>
              <w14:schemeClr w14:val="tx1"/>
            </w14:solidFill>
          </w14:textFill>
        </w:rPr>
        <w:fldChar w:fldCharType="end"/>
      </w:r>
      <w:r>
        <w:rPr>
          <w:color w:val="000000" w:themeColor="text1"/>
          <w:sz w:val="28"/>
          <w:szCs w:val="28"/>
          <w:lang w:val="kk-KZ"/>
          <w14:textFill>
            <w14:solidFill>
              <w14:schemeClr w14:val="tx1"/>
            </w14:solidFill>
          </w14:textFill>
        </w:rPr>
        <w:t> мен </w:t>
      </w:r>
      <w:r>
        <w:fldChar w:fldCharType="begin"/>
      </w:r>
      <w:r>
        <w:instrText xml:space="preserve"> HYPERLINK "https://kk.wikipedia.org/w/index.php?title=%D0%92%D0%B5%D1%81%D1%82-%D2%AE%D0%BD%D0%B4%D1%96%D1%81%D1%82%D0%B0%D0%BD&amp;action=edit&amp;redlink=1" \o "Вест-Үндістан (мұндай бет жоқ)" </w:instrText>
      </w:r>
      <w:r>
        <w:fldChar w:fldCharType="separate"/>
      </w:r>
      <w:r>
        <w:rPr>
          <w:rStyle w:val="14"/>
          <w:color w:val="000000" w:themeColor="text1"/>
          <w:sz w:val="28"/>
          <w:szCs w:val="28"/>
          <w:lang w:val="kk-KZ"/>
          <w14:textFill>
            <w14:solidFill>
              <w14:schemeClr w14:val="tx1"/>
            </w14:solidFill>
          </w14:textFill>
        </w:rPr>
        <w:t>Вест-Үндістан</w:t>
      </w:r>
      <w:r>
        <w:rPr>
          <w:rStyle w:val="14"/>
          <w:color w:val="000000" w:themeColor="text1"/>
          <w:sz w:val="28"/>
          <w:szCs w:val="28"/>
          <w:lang w:val="kk-KZ"/>
          <w14:textFill>
            <w14:solidFill>
              <w14:schemeClr w14:val="tx1"/>
            </w14:solidFill>
          </w14:textFill>
        </w:rPr>
        <w:fldChar w:fldCharType="end"/>
      </w:r>
      <w:r>
        <w:rPr>
          <w:color w:val="000000" w:themeColor="text1"/>
          <w:sz w:val="28"/>
          <w:szCs w:val="28"/>
          <w:lang w:val="kk-KZ"/>
          <w14:textFill>
            <w14:solidFill>
              <w14:schemeClr w14:val="tx1"/>
            </w14:solidFill>
          </w14:textFill>
        </w:rPr>
        <w:t> аралдарын қамтиды) мен бүкiл оңтүстік Америка аумағындағы елдердің жалпы атауы.</w:t>
      </w:r>
    </w:p>
    <w:p w14:paraId="5E63C816">
      <w:pPr>
        <w:pStyle w:val="16"/>
        <w:shd w:val="clear" w:color="auto" w:fill="FFFFFF"/>
        <w:spacing w:before="120" w:beforeAutospacing="0" w:after="120" w:afterAutospacing="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Жалпы аумағы 22,8 млн. км². Халқы 479 млн. адам.</w:t>
      </w:r>
    </w:p>
    <w:p w14:paraId="2DEA530E">
      <w:pPr>
        <w:pStyle w:val="16"/>
        <w:shd w:val="clear" w:color="auto" w:fill="FFFFFF"/>
        <w:spacing w:before="0" w:beforeAutospacing="0" w:after="360" w:afterAutospacing="0"/>
        <w:jc w:val="both"/>
        <w:rPr>
          <w:rFonts w:ascii="Open Sans" w:hAnsi="Open Sans" w:cs="Open Sans"/>
          <w:color w:val="000000"/>
          <w:sz w:val="23"/>
          <w:szCs w:val="23"/>
          <w:lang w:val="kk-KZ"/>
        </w:rPr>
      </w:pPr>
      <w:r>
        <w:rPr>
          <w:color w:val="000000"/>
          <w:sz w:val="28"/>
          <w:szCs w:val="28"/>
          <w:shd w:val="clear" w:color="auto" w:fill="FFFFFF"/>
          <w:lang w:val="kk-KZ"/>
        </w:rPr>
        <w:t>Латын Америка елдері қатарына Орталық Америка мен Кариб алабында орналасқан Антигуа және Барбуда, Багам Аралдары Бірлестігі, Барбадос, Белиз, Гаити, Гватемала, Гондурас, Гренада, Доминика, Доминикан Республикасы, Коста-Рика, Куба, Мексика, Никарагуа, Панама, Сальвадор, Сент-Винсент және Гренадина, Сент-Китс және Невис, Сент-Люсия, Тринидад және Тобаго, Ямайка; Оңтүстік Америкада орналасқан Аргентина, Боливия, Бразилия, Венесуэла, Гайана, Колумбия, Парагвай, Перу, Суринам, Уругвай, Чили, Эквадор енеді.</w:t>
      </w:r>
      <w:r>
        <w:rPr>
          <w:rFonts w:ascii="Open Sans" w:hAnsi="Open Sans" w:cs="Open Sans"/>
          <w:color w:val="000000"/>
          <w:sz w:val="23"/>
          <w:szCs w:val="23"/>
          <w:shd w:val="clear" w:color="auto" w:fill="FFFFFF"/>
          <w:lang w:val="kk-KZ"/>
        </w:rPr>
        <w:t xml:space="preserve"> </w:t>
      </w:r>
      <w:r>
        <w:rPr>
          <w:color w:val="000000"/>
          <w:sz w:val="28"/>
          <w:szCs w:val="28"/>
          <w:shd w:val="clear" w:color="auto" w:fill="FFFFFF"/>
          <w:lang w:val="kk-KZ"/>
        </w:rPr>
        <w:t>Латын Америкасының қазіргі саяси картасы, негізінен, еуропалық отарлау және ұлт-азаттық қозғалыстардың нәтижесінде қалыптасты. Қазіргі кезде мұнда 33 тәуелсіз мемлекет орналасқан. Еуропалықтар келгенге дейін XV ғасырдың соңына қарай Латын Америкасы аумағында ацтектердің (Мексика таулы қыраты), майя (Юкатан түбегі) және инктердің (Анд тауы ауданы) аса күшті дамыған өркениеттері болды. Латын Америкасын, жалпы Американы отарлау Кариб теңізі аралдарынан басталды. Географиялық жағынан алғанда да орталық болып саналатын бұл аудан жаңа дүние бөлігін игерудің тірегіне айналды. XVI ғасырдың алғашқы ширегінде Орталық Американы тұтасымен дерлік отарлаған испан басқыншылары (конкистадорлар) кейінірек Оңтүстік Америкаға да жетті. Жаңа жерлердің көпшілігі Испанияның иелігінде болды, Португалия Бразилияны отарлады. Кариб алабындағы аралдарда Еуропаның бірқатар елдерінің отарлары орналасты. Франция Оңтүстік Американың солтүстігіндегі аумақтарды отарлады (қазіргі кезде оның иелігінде Гвиана ғана қалған). Суринам алғашында испан, кейіннен ағылшын отары болса, ақыр соңында Нидерланд Суринамды Англиядан Жаңа Амстердамның (Нью-Йорк) орнына айырбастап алған.</w:t>
      </w:r>
      <w:r>
        <w:rPr>
          <w:rFonts w:ascii="Open Sans" w:hAnsi="Open Sans" w:cs="Open Sans"/>
          <w:color w:val="000000"/>
          <w:sz w:val="23"/>
          <w:szCs w:val="23"/>
          <w:lang w:val="kk-KZ"/>
        </w:rPr>
        <w:t xml:space="preserve"> Қазіргі кезде мемлекеттің экономикалық қуаты оның әлемдік саясаттағы орнын белгілейтін аса маңызды көрсеткішке айналған. Жалпы алғанда, Латын Америкасының геосаяси жағдайына баға беруде мынадай факторларды атап өту қажет:</w:t>
      </w:r>
    </w:p>
    <w:p w14:paraId="11810FBD">
      <w:pPr>
        <w:pStyle w:val="16"/>
        <w:shd w:val="clear" w:color="auto" w:fill="FFFFFF"/>
        <w:spacing w:before="0" w:beforeAutospacing="0" w:after="360" w:afterAutospacing="0"/>
        <w:jc w:val="both"/>
        <w:rPr>
          <w:rFonts w:ascii="Open Sans" w:hAnsi="Open Sans" w:cs="Open Sans"/>
          <w:color w:val="000000"/>
          <w:sz w:val="23"/>
          <w:szCs w:val="23"/>
          <w:lang w:val="kk-KZ"/>
        </w:rPr>
      </w:pPr>
      <w:r>
        <w:rPr>
          <w:rFonts w:ascii="Open Sans" w:hAnsi="Open Sans" w:cs="Open Sans"/>
          <w:color w:val="000000"/>
          <w:sz w:val="23"/>
          <w:szCs w:val="23"/>
          <w:lang w:val="kk-KZ"/>
        </w:rPr>
        <w:t>1) аймақ елдерінің басқа дүние бөліктерінен шалғайда орналасуы. Осы себепті мұндағы жеке елдің дамуына халықаралық жағдайға қарағанда аймақ ішілік саяси-экономикалық ахуалдың әсері мол;</w:t>
      </w:r>
    </w:p>
    <w:p w14:paraId="1F457C5C">
      <w:pPr>
        <w:pStyle w:val="16"/>
        <w:shd w:val="clear" w:color="auto" w:fill="FFFFFF"/>
        <w:spacing w:before="0" w:beforeAutospacing="0" w:after="360" w:afterAutospacing="0"/>
        <w:jc w:val="both"/>
        <w:rPr>
          <w:rFonts w:ascii="Open Sans" w:hAnsi="Open Sans" w:cs="Open Sans"/>
          <w:color w:val="000000"/>
          <w:sz w:val="23"/>
          <w:szCs w:val="23"/>
          <w:lang w:val="kk-KZ"/>
        </w:rPr>
      </w:pPr>
      <w:r>
        <w:rPr>
          <w:rFonts w:ascii="Open Sans" w:hAnsi="Open Sans" w:cs="Open Sans"/>
          <w:color w:val="000000"/>
          <w:sz w:val="23"/>
          <w:szCs w:val="23"/>
          <w:lang w:val="kk-KZ"/>
        </w:rPr>
        <w:t>2) Латын Америкасының дүниежузіндегі аса күшті дамыған мемлекет — АҚШ-пен көршілес орналасуы. Дүниежүзілік экономика мен саясатта жетекші орын алатын мемлекетпен көршілестігі белгілі бір дәрежеде Латын Америкасы елдерінің экономикалық және саяси-әлеуметтік даму бағытын анықтайды десе де болады. Латын Америкасы тарихи-географиялық себептерге байланысты халықаралық деңгейдегі геосаяси орталық болып табылатын АҚШ-тың басты ықпал ету аймағына айналған. Мысалы, АҚШ-тың мұнай өңдейтін ірі кәсіпорын-дары Кариб алабындағы ірі танкерлер тоқтауға ыңғайлы айлақтарда орналасқан және сауда кемелері бұл елдердің «қолайлы жалауларын» пайдаланады. Аймақтағы елдердің көпшілігінің сыртқы саясаты АҚШ мүддесіне сай үйлестіріледі;</w:t>
      </w:r>
    </w:p>
    <w:p w14:paraId="47C09FD3">
      <w:pPr>
        <w:pStyle w:val="16"/>
        <w:shd w:val="clear" w:color="auto" w:fill="FFFFFF"/>
        <w:spacing w:before="0" w:beforeAutospacing="0" w:after="360" w:afterAutospacing="0"/>
        <w:jc w:val="both"/>
        <w:rPr>
          <w:rFonts w:ascii="Open Sans" w:hAnsi="Open Sans" w:cs="Open Sans"/>
          <w:color w:val="000000"/>
          <w:sz w:val="23"/>
          <w:szCs w:val="23"/>
          <w:lang w:val="kk-KZ"/>
        </w:rPr>
      </w:pPr>
      <w:r>
        <w:rPr>
          <w:rFonts w:ascii="Open Sans" w:hAnsi="Open Sans" w:cs="Open Sans"/>
          <w:color w:val="000000"/>
          <w:sz w:val="23"/>
          <w:szCs w:val="23"/>
          <w:lang w:val="kk-KZ"/>
        </w:rPr>
        <w:t>3) Латын Америкасында жоғары дамыған елдердің иеліктерінің сақталып қалуы. Іс жүзінде саяси, экономикалық жағынан тәуелді аумақтар Еуропа мен Американың дамыған елдерінің әскери-стратегиялық жағдайын нығайтумен қатар өздерінің әлеуметтік-экономикалық дамуына мүмкіндік алады. Мысалы, Франция Гвианада ғарыш айлағын орналастырған; Француз Одағына енетін шалғай департаменттердің (Гвиана, Мартиника, Гваделупа, Сен-Пьер және Микелон) дамуына ЕО тарапынан тұрақты түрде қаржы бөлінеді;</w:t>
      </w:r>
    </w:p>
    <w:p w14:paraId="43C049A7">
      <w:pPr>
        <w:pStyle w:val="16"/>
        <w:shd w:val="clear" w:color="auto" w:fill="FFFFFF"/>
        <w:spacing w:before="0" w:beforeAutospacing="0" w:after="360" w:afterAutospacing="0"/>
        <w:jc w:val="both"/>
        <w:rPr>
          <w:rFonts w:ascii="Open Sans" w:hAnsi="Open Sans" w:cs="Open Sans"/>
          <w:color w:val="000000"/>
          <w:sz w:val="23"/>
          <w:szCs w:val="23"/>
          <w:lang w:val="kk-KZ"/>
        </w:rPr>
      </w:pPr>
      <w:r>
        <w:rPr>
          <w:rFonts w:ascii="Open Sans" w:hAnsi="Open Sans" w:cs="Open Sans"/>
          <w:color w:val="000000"/>
          <w:sz w:val="23"/>
          <w:szCs w:val="23"/>
          <w:lang w:val="kk-KZ"/>
        </w:rPr>
        <w:t>4) аймақ елдерінің барлығы дерлік (Парагвай мен Боливиядан басқалары) Дүниежүзілік мұхитқа тікелей шыға алады; бұл елдердің халықаралық қарым-қатынастарын жақсартуға қолайлы алғышарт болып табылады. Әсіресе Атлант және Тынық мұхиттарын жалғастырып жатқан Панама каналы маңы мен Орталық Америка елдерінің географиялық орнының экономикалық және стратегиялық маңызы аса зор;</w:t>
      </w:r>
    </w:p>
    <w:p w14:paraId="2E880E16">
      <w:pPr>
        <w:spacing w:after="0"/>
        <w:rPr>
          <w:rFonts w:eastAsia="Times New Roman" w:cs="Times New Roman"/>
          <w:sz w:val="24"/>
          <w:szCs w:val="24"/>
          <w:lang w:eastAsia="ru-RU"/>
        </w:rPr>
      </w:pPr>
    </w:p>
    <w:p w14:paraId="34913A1C">
      <w:pPr>
        <w:spacing w:after="360"/>
        <w:rPr>
          <w:rFonts w:eastAsia="Times New Roman" w:cs="Times New Roman"/>
          <w:sz w:val="24"/>
          <w:szCs w:val="24"/>
          <w:lang w:eastAsia="ru-RU"/>
        </w:rPr>
      </w:pPr>
      <w:r>
        <w:rPr>
          <w:rFonts w:eastAsia="Times New Roman" w:cs="Times New Roman"/>
          <w:sz w:val="24"/>
          <w:szCs w:val="24"/>
          <w:lang w:eastAsia="ru-RU"/>
        </w:rPr>
        <w:t>Латын Америка елдері қатарына Орталық Америка мен Кариб алабында орналасқан Антигуа және Барбуда, Багам Аралдары Бірлестігі, Барбадос, Белиз, Гаити, Гватемала, Гондурас, Гренада, Доминика, Доминикан Республикасы, Коста-Рика, Куба, Мексика, Никарагуа, Панама, Сальвадор, Сент-Винсент және Гренадина, Сент-Китс және Невис, Сент-Люсия, Тринидад және Тобаго, Ямайка; Оңтүстік Америкада орналасқан Аргентина, Боливия, Бразилия, Венесуэла, Гайана, Колумбия, Парагвай, Перу, Суринам, Уругвай, Чили, Эквадор енеді.</w:t>
      </w:r>
    </w:p>
    <w:p w14:paraId="17437888">
      <w:pPr>
        <w:spacing w:after="360"/>
        <w:rPr>
          <w:rFonts w:eastAsia="Times New Roman" w:cs="Times New Roman"/>
          <w:sz w:val="24"/>
          <w:szCs w:val="24"/>
          <w:lang w:eastAsia="ru-RU"/>
        </w:rPr>
      </w:pPr>
      <w:r>
        <w:rPr>
          <w:rFonts w:eastAsia="Times New Roman" w:cs="Times New Roman"/>
          <w:sz w:val="24"/>
          <w:szCs w:val="24"/>
          <w:lang w:eastAsia="ru-RU"/>
        </w:rPr>
        <w:t>Латын Америкасының қазіргі саяси картасы, негізінен, еуропалық отарлау және ұлт-азаттық қозғалыстардың нәтижесінде қалыптасты. Қазіргі кезде мұнда 33 тәуелсіз мемлекет орналасқан. Еуропалықтар келгенге дейін XV ғасырдың соңына қарай Латын Америкасы аумағында ацтектердің (Мексика таулы қыраты), майя (Юкатан түбегі) және инктердің (Анд тауы ауданы) аса күшті дамыған өркениеттері болды. Латын Америкасын, жалпы Американы отарлау Кариб теңізі аралдарынан басталды. Географиялық жағынан алғанда да орталық болып саналатын бұл аудан жаңа дүние бөлігін игерудің тірегіне айналды. XVI ғасырдың алғашқы ширегінде Орталық Американы тұтасымен дерлік отарлаған испан басқыншылары (конкистадорлар) кейінірек Оңтүстік Америкаға да жетті. Жаңа жерлердің көпшілігі Испанияның иелігінде болды, Португалия Бразилияны отарлады. Кариб алабындағы аралдарда Еуропаның бірқатар елдерінің отарлары орналасты. Франция Оңтүстік Американың солтүстігіндегі аумақтарды отарлады (қазіргі кезде оның иелігінде Гвиана ғана қалған). Суринам алғашында испан, кейіннен ағылшын отары болса, ақыр соңында Нидерланд Суринамды Англиядан Жаңа Амстердамның (Нью-Йорк) орнына айырбастап алған.</w:t>
      </w:r>
    </w:p>
    <w:p w14:paraId="1273A58B">
      <w:pPr>
        <w:spacing w:after="360"/>
        <w:rPr>
          <w:rFonts w:eastAsia="Times New Roman" w:cs="Times New Roman"/>
          <w:sz w:val="24"/>
          <w:szCs w:val="24"/>
          <w:lang w:eastAsia="ru-RU"/>
        </w:rPr>
      </w:pPr>
      <w:r>
        <w:rPr>
          <w:rFonts w:eastAsia="Times New Roman" w:cs="Times New Roman"/>
          <w:sz w:val="24"/>
          <w:szCs w:val="24"/>
          <w:lang w:eastAsia="ru-RU"/>
        </w:rPr>
        <w:t>АҚШ-тың тәуелсіздік алуы Латын Америкасындағы жаппай ұлт-азаттық қозғалыстың басталуына түрткі болды. 1791 жылы француз отары Сан-Домингода (Гаити аралының батысы) құлдар көтерілісі басталып, 1804 жылы Латын Америкасындағы ресми танылған алғашқы тәуелсіз мемлекет — Гаити пайда болды.</w:t>
      </w:r>
    </w:p>
    <w:p w14:paraId="79A27872">
      <w:pPr>
        <w:shd w:val="clear" w:color="auto" w:fill="F7F7F7"/>
        <w:rPr>
          <w:rFonts w:eastAsia="Times New Roman" w:cs="Times New Roman"/>
          <w:i/>
          <w:iCs/>
          <w:color w:val="404040"/>
          <w:sz w:val="24"/>
          <w:szCs w:val="24"/>
          <w:lang w:eastAsia="ru-RU"/>
        </w:rPr>
      </w:pPr>
      <w:r>
        <w:rPr>
          <w:rFonts w:eastAsia="Times New Roman" w:cs="Times New Roman"/>
          <w:i/>
          <w:iCs/>
          <w:color w:val="404040"/>
          <w:sz w:val="24"/>
          <w:szCs w:val="24"/>
          <w:lang w:eastAsia="ru-RU"/>
        </w:rPr>
        <w:t>1809 жылы Эквадор, 1810 жылы Мексика, Чили, 1811 жылы Парагвай, Колумбия, Венесуэла, 1816 жылы Аргентина, 1821 жылы Коста-Рика, Никарагуа, Перу, Сальвадор, Гондурас, Гватемала, 1822 жылы Бразилия, 1825 жылы Уругвай, Боливия, 1844 жылы Доминикан Республикасы тәуелсіздік алды.</w:t>
      </w:r>
    </w:p>
    <w:p w14:paraId="68F39B08">
      <w:pPr>
        <w:spacing w:after="360"/>
        <w:rPr>
          <w:rFonts w:eastAsia="Times New Roman" w:cs="Times New Roman"/>
          <w:sz w:val="24"/>
          <w:szCs w:val="24"/>
          <w:lang w:eastAsia="ru-RU"/>
        </w:rPr>
      </w:pPr>
      <w:r>
        <w:rPr>
          <w:rFonts w:eastAsia="Times New Roman" w:cs="Times New Roman"/>
          <w:sz w:val="24"/>
          <w:szCs w:val="24"/>
          <w:lang w:eastAsia="ru-RU"/>
        </w:rPr>
        <w:t>XIX ғасырдың 30-40-жылдарында АҚШ Мексиканың біраз бөлігін (қазіргі Техас штаты мен Үлкен Тұзды көлге дейінгі аралықты) басып алды. XIX ғасырдың 80-жылдары болған соғыс нәтижесінде жағалау аудандары Чилидің иелігіне өткен Боливия теңізге шыға алмай қалды. 1898 жылы Испаниямен соғыста жеңген АҚШ Пуэрто-Рико мен Кубаны иеленді. Сонымен XX ғасырдың басына қарай Латын Америкасында Ұлыбританияның, Нидерландтың, Францияның, АҚШ-тың, Данияның иеліктері сақталып қалды.</w:t>
      </w:r>
    </w:p>
    <w:p w14:paraId="648F7837">
      <w:pPr>
        <w:spacing w:after="360"/>
        <w:rPr>
          <w:rFonts w:eastAsia="Times New Roman" w:cs="Times New Roman"/>
          <w:sz w:val="24"/>
          <w:szCs w:val="24"/>
          <w:lang w:eastAsia="ru-RU"/>
        </w:rPr>
      </w:pPr>
      <w:r>
        <w:rPr>
          <w:rFonts w:eastAsia="Times New Roman" w:cs="Times New Roman"/>
          <w:sz w:val="24"/>
          <w:szCs w:val="24"/>
          <w:lang w:eastAsia="ru-RU"/>
        </w:rPr>
        <w:t>XX ғасырда Латын Америкасының саяси картасы біршама өзгерістерге ұшырады. 1902 жылы Куба, 1903 жылы Панаманың тәуелсіздігі жарияланды; 1916 — 1917 жылдары Дания өз иелігіндегі аралдарды АҚШ-қа сатты; 1838 жылы Парагвай аумағы Боливиядан алған Гран-Чако есебінен ұлғая түсті. 1959 жылы Кубада социалистік революция болып, мемлекет жүйесі өзгерді. XX ғасырдың 60-80-жылдары аралдың аумақтар азаттық алды. Қазіргі кезде Латын Америкасындағы кейбір аумақтар әлі де болса басқа елдердің иелігінде қалып отыр (оларды саяси-әкімшілік картадан табыңдар).</w:t>
      </w:r>
    </w:p>
    <w:p w14:paraId="0025C74B">
      <w:pPr>
        <w:spacing w:after="360"/>
        <w:rPr>
          <w:rFonts w:eastAsia="Times New Roman" w:cs="Times New Roman"/>
          <w:sz w:val="24"/>
          <w:szCs w:val="24"/>
          <w:lang w:eastAsia="ru-RU"/>
        </w:rPr>
      </w:pPr>
      <w:r>
        <w:rPr>
          <w:rFonts w:eastAsia="Times New Roman" w:cs="Times New Roman"/>
          <w:sz w:val="24"/>
          <w:szCs w:val="24"/>
          <w:lang w:eastAsia="ru-RU"/>
        </w:rPr>
        <w:t>Қазіргі кезде мемлекеттің экономикалық қуаты оның әлемдік саясаттағы орнын белгілейтін аса маңызды көрсеткішке айналған. Жалпы алғанда, Латын Америкасының геосаяси жағдайына баға беруде мынадай факторларды атап өту қажет:</w:t>
      </w:r>
    </w:p>
    <w:p w14:paraId="445B4B75">
      <w:pPr>
        <w:spacing w:after="360"/>
        <w:rPr>
          <w:rFonts w:eastAsia="Times New Roman" w:cs="Times New Roman"/>
          <w:sz w:val="24"/>
          <w:szCs w:val="24"/>
          <w:lang w:eastAsia="ru-RU"/>
        </w:rPr>
      </w:pPr>
      <w:r>
        <w:rPr>
          <w:rFonts w:eastAsia="Times New Roman" w:cs="Times New Roman"/>
          <w:sz w:val="24"/>
          <w:szCs w:val="24"/>
          <w:lang w:eastAsia="ru-RU"/>
        </w:rPr>
        <w:t>1) аймақ елдерінің басқа дүние бөліктерінен шалғайда орналасуы. Осы себепті мұндағы жеке елдің дамуына халықаралық жағдайға қарағанда аймақ ішілік саяси-экономикалық ахуалдың әсері мол;</w:t>
      </w:r>
    </w:p>
    <w:p w14:paraId="7D6A9EB8">
      <w:pPr>
        <w:spacing w:after="360"/>
        <w:rPr>
          <w:rFonts w:eastAsia="Times New Roman" w:cs="Times New Roman"/>
          <w:sz w:val="24"/>
          <w:szCs w:val="24"/>
          <w:lang w:eastAsia="ru-RU"/>
        </w:rPr>
      </w:pPr>
      <w:r>
        <w:rPr>
          <w:rFonts w:eastAsia="Times New Roman" w:cs="Times New Roman"/>
          <w:sz w:val="24"/>
          <w:szCs w:val="24"/>
          <w:lang w:eastAsia="ru-RU"/>
        </w:rPr>
        <w:t>2) Латын Америкасының дүниежузіндегі аса күшті дамыған мемлекет — АҚШ-пен көршілес орналасуы. Дүниежүзілік экономика мен саясатта жетекші орын алатын мемлекетпен көршілестігі белгілі бір дәрежеде Латын Америкасы елдерінің экономикалық және саяси-әлеуметтік даму бағытын анықтайды десе де болады. Латын Америкасы тарихи-географиялық себептерге байланысты халықаралық деңгейдегі геосаяси орталық болып табылатын АҚШ-тың басты ықпал ету аймағына айналған. Мысалы, АҚШ-тың мұнай өңдейтін ірі кәсіпорын-дары Кариб алабындағы ірі танкерлер тоқтауға ыңғайлы айлақтарда орналасқан және сауда кемелері бұл елдердің «қолайлы жалауларын» пайдаланады. Аймақтағы елдердің көпшілігінің сыртқы саясаты АҚШ мүддесіне сай үйлестіріледі;</w:t>
      </w:r>
    </w:p>
    <w:p w14:paraId="7E57F18D">
      <w:pPr>
        <w:spacing w:after="360"/>
        <w:rPr>
          <w:rFonts w:eastAsia="Times New Roman" w:cs="Times New Roman"/>
          <w:sz w:val="24"/>
          <w:szCs w:val="24"/>
          <w:lang w:eastAsia="ru-RU"/>
        </w:rPr>
      </w:pPr>
      <w:r>
        <w:rPr>
          <w:rFonts w:eastAsia="Times New Roman" w:cs="Times New Roman"/>
          <w:sz w:val="24"/>
          <w:szCs w:val="24"/>
          <w:lang w:eastAsia="ru-RU"/>
        </w:rPr>
        <w:t>3) Латын Америкасында жоғары дамыған елдердің иеліктерінің сақталып қалуы. Іс жүзінде саяси, экономикалық жағынан тәуелді аумақтар Еуропа мен Американың дамыған елдерінің әскери-стратегиялық жағдайын нығайтумен қатар өздерінің әлеуметтік-экономикалық дамуына мүмкіндік алады. Мысалы, Франция Гвианада ғарыш айлағын орналастырған; Француз Одағына енетін шалғай департаменттердің (Гвиана, Мартиника, Гваделупа, Сен-Пьер және Микелон) дамуына ЕО тарапынан тұрақты түрде қаржы бөлінеді;</w:t>
      </w:r>
    </w:p>
    <w:p w14:paraId="0EDAA00B">
      <w:pPr>
        <w:spacing w:after="360"/>
        <w:rPr>
          <w:rFonts w:eastAsia="Times New Roman" w:cs="Times New Roman"/>
          <w:sz w:val="24"/>
          <w:szCs w:val="24"/>
          <w:lang w:eastAsia="ru-RU"/>
        </w:rPr>
      </w:pPr>
      <w:r>
        <w:rPr>
          <w:rFonts w:eastAsia="Times New Roman" w:cs="Times New Roman"/>
          <w:sz w:val="24"/>
          <w:szCs w:val="24"/>
          <w:lang w:eastAsia="ru-RU"/>
        </w:rPr>
        <w:t>4) аймақ елдерінің барлығы дерлік (Парагвай мен Боливиядан басқалары) Дүниежүзілік мұхитқа тікелей шыға алады; бұл елдердің халықаралық қарым-қатынастарын жақсартуға қолайлы алғышарт болып табылады. Әсіресе Атлант және Тынық мұхиттарын жалғастырып жатқан Панама каналы маңы мен Орталық Америка елдерінің географиялық орнының экономикалық және стратегиялық маңызы аса зор;</w:t>
      </w:r>
    </w:p>
    <w:p w14:paraId="7CEEAB17">
      <w:pPr>
        <w:spacing w:after="360"/>
        <w:rPr>
          <w:rFonts w:eastAsia="Times New Roman" w:cs="Times New Roman"/>
          <w:sz w:val="24"/>
          <w:szCs w:val="24"/>
          <w:lang w:eastAsia="ru-RU"/>
        </w:rPr>
      </w:pPr>
      <w:r>
        <w:rPr>
          <w:rFonts w:eastAsia="Times New Roman" w:cs="Times New Roman"/>
          <w:sz w:val="24"/>
          <w:szCs w:val="24"/>
          <w:lang w:eastAsia="ru-RU"/>
        </w:rPr>
        <w:t>5) Кариб алабы елдерінің халықаралық деңгейдегі буферлік (аралық) рөлі; географиялық орнының ерекшелігіне байланысты Кариб алабын-дағы елдердің көпшілігінің экономикасы транзиттік сипат алған; аралдың мемлекеттерде салық жеңілдіктеріне байланысты халық-аралық аса ірі қаржы мекемелері мен офф-шорлық зоналар орналас-қан. Мысалы, Кайман аралдарында (Ұлыбритания иелігі) 500-ге жуық банк орналасқан, дүниежүзіндегі аса ірі 50 банктің 40 шақтысының осы аралдарда филиалы бар;</w:t>
      </w:r>
    </w:p>
    <w:p w14:paraId="6B268DCF">
      <w:pPr>
        <w:spacing w:after="360"/>
        <w:rPr>
          <w:rFonts w:eastAsia="Times New Roman" w:cs="Times New Roman"/>
          <w:sz w:val="24"/>
          <w:szCs w:val="24"/>
          <w:lang w:eastAsia="ru-RU"/>
        </w:rPr>
      </w:pPr>
      <w:r>
        <w:rPr>
          <w:rFonts w:eastAsia="Times New Roman" w:cs="Times New Roman"/>
          <w:sz w:val="24"/>
          <w:szCs w:val="24"/>
          <w:lang w:eastAsia="ru-RU"/>
        </w:rPr>
        <w:t>6) Америка елдерінің өзара ынтымақтастығының жедел түрде дамуы; 1995 жылы Америка елдерінің басшылары 2005 жылға қарай Батыс жартышардағы еркін сауда аймағын құру жөніндегі құжаттарға қол қойды. Ынтымақтастық ұйымы аясында бірлескен экономикалық жоспарлар ғана емес, экологиялық, есірткіге қарсы және т.б. бағдарламалар да жүзеге асатын болады. Іс жүзінде мұндай ұйымның құрылуы Латын Америкасы елдерінің геосаяси жағдайын нығайта түседі.</w:t>
      </w:r>
    </w:p>
    <w:p w14:paraId="4B869A90">
      <w:pPr>
        <w:spacing w:before="540" w:after="360"/>
        <w:outlineLvl w:val="2"/>
        <w:rPr>
          <w:rFonts w:eastAsia="Times New Roman" w:cs="Times New Roman"/>
          <w:szCs w:val="28"/>
          <w:lang w:eastAsia="ru-RU"/>
        </w:rPr>
      </w:pPr>
      <w:r>
        <w:rPr>
          <w:rFonts w:eastAsia="Times New Roman" w:cs="Times New Roman"/>
          <w:color w:val="1A1A1A"/>
          <w:szCs w:val="28"/>
          <w:lang w:eastAsia="ru-RU"/>
        </w:rPr>
        <w:t>Латын Америка елдерінің мемлекеттік құрылымы, топтары</w:t>
      </w:r>
      <w:r>
        <w:rPr>
          <w:rFonts w:eastAsia="Times New Roman" w:cs="Times New Roman"/>
          <w:color w:val="1A1A1A"/>
          <w:szCs w:val="28"/>
          <w:lang w:val="kk-KZ" w:eastAsia="ru-RU"/>
        </w:rPr>
        <w:t xml:space="preserve">. </w:t>
      </w:r>
      <w:r>
        <w:rPr>
          <w:rFonts w:eastAsia="Times New Roman" w:cs="Times New Roman"/>
          <w:szCs w:val="28"/>
          <w:lang w:val="kk-KZ" w:eastAsia="ru-RU"/>
        </w:rPr>
        <w:t xml:space="preserve">Латын Америка-сында орналасңан елдердің басым көпшілігі — унитарлық республи-калар, ал Аргентина, Бразилия, Венесуэла, Мексика мемлекеттік құрылымы жөнінен федерациялық республикалар болып табылады. </w:t>
      </w:r>
      <w:r>
        <w:rPr>
          <w:rFonts w:eastAsia="Times New Roman" w:cs="Times New Roman"/>
          <w:szCs w:val="28"/>
          <w:lang w:eastAsia="ru-RU"/>
        </w:rPr>
        <w:t>Аймақта Британ Бірлестігіне мүше тәуелсіз мемлекеттер де бар. Латын Америкасындағы елдерді тарихи-географиялық жағынан бірнеше топтарға бөледі: 1) Орта Америка немесе Мезоамерика (Мексика, Орталық Америка және Кариб теңізіндегі аралдық мемлекеттер); 2) Анд елдері (Венесуэла, Колумбия, Эквадор, Перу, Боливия, Чили); 3) Ла-Плата елдері (Парагвай, Уругвай, Аргентина); 4) жетекші ел — Бразилия.</w:t>
      </w:r>
    </w:p>
    <w:p w14:paraId="39C42B30">
      <w:pPr>
        <w:pStyle w:val="16"/>
        <w:shd w:val="clear" w:color="auto" w:fill="FFFFFF"/>
        <w:spacing w:before="0" w:beforeAutospacing="0" w:after="360" w:afterAutospacing="0"/>
        <w:jc w:val="both"/>
        <w:rPr>
          <w:rFonts w:ascii="Open Sans" w:hAnsi="Open Sans" w:cs="Open Sans"/>
          <w:color w:val="000000"/>
          <w:sz w:val="23"/>
          <w:szCs w:val="23"/>
        </w:rPr>
      </w:pPr>
      <w:r>
        <w:rPr>
          <w:rFonts w:ascii="Open Sans" w:hAnsi="Open Sans" w:cs="Open Sans"/>
          <w:color w:val="000000"/>
          <w:sz w:val="23"/>
          <w:szCs w:val="23"/>
        </w:rPr>
        <w:t>Латын Америкасы — дүниежүзіндегі халық аз қоныстанған аймақтардың бірі; мұнда 1 км</w:t>
      </w:r>
      <w:r>
        <w:rPr>
          <w:rFonts w:ascii="Open Sans" w:hAnsi="Open Sans" w:cs="Open Sans"/>
          <w:color w:val="000000"/>
          <w:sz w:val="17"/>
          <w:szCs w:val="17"/>
          <w:vertAlign w:val="superscript"/>
        </w:rPr>
        <w:t>2</w:t>
      </w:r>
      <w:r>
        <w:rPr>
          <w:rFonts w:ascii="Open Sans" w:hAnsi="Open Sans" w:cs="Open Sans"/>
          <w:color w:val="000000"/>
          <w:sz w:val="23"/>
          <w:szCs w:val="23"/>
        </w:rPr>
        <w:t>-ге 30 адамнан келеді. Аймақта халық біркелкі орналаспаған мұхит жағалауларындағы қолайлы шығанақтар маңында, байырғы өркениет ошақтарында, таулы аудандарда, Кариб алабындағы аралдың елдерде халық тығыз қоныстанған. Кариб алабындағы Барбадоста 1 км</w:t>
      </w:r>
      <w:r>
        <w:rPr>
          <w:rFonts w:ascii="Open Sans" w:hAnsi="Open Sans" w:cs="Open Sans"/>
          <w:color w:val="000000"/>
          <w:sz w:val="17"/>
          <w:szCs w:val="17"/>
          <w:vertAlign w:val="superscript"/>
        </w:rPr>
        <w:t>2</w:t>
      </w:r>
      <w:r>
        <w:rPr>
          <w:rFonts w:ascii="Open Sans" w:hAnsi="Open Sans" w:cs="Open Sans"/>
          <w:color w:val="000000"/>
          <w:sz w:val="23"/>
          <w:szCs w:val="23"/>
        </w:rPr>
        <w:t>-ге 660 адамнан келеді, Сальвадорда бұл көрсеткіш 300-ге тең. Амазонка мен Ориноко алаптарында, Патагонияда халық өте сирек қоныстанған, мұнда 1 км</w:t>
      </w:r>
      <w:r>
        <w:rPr>
          <w:rFonts w:ascii="Open Sans" w:hAnsi="Open Sans" w:cs="Open Sans"/>
          <w:color w:val="000000"/>
          <w:sz w:val="17"/>
          <w:szCs w:val="17"/>
          <w:vertAlign w:val="superscript"/>
        </w:rPr>
        <w:t>2</w:t>
      </w:r>
      <w:r>
        <w:rPr>
          <w:rFonts w:ascii="Open Sans" w:hAnsi="Open Sans" w:cs="Open Sans"/>
          <w:color w:val="000000"/>
          <w:sz w:val="23"/>
          <w:szCs w:val="23"/>
        </w:rPr>
        <w:t>-ге 1 адамнан да келмейді. Елдер бойынша халық тығыздығының ең төмен көрсеткіштері Суринамға (1 км</w:t>
      </w:r>
      <w:r>
        <w:rPr>
          <w:rFonts w:ascii="Open Sans" w:hAnsi="Open Sans" w:cs="Open Sans"/>
          <w:color w:val="000000"/>
          <w:sz w:val="17"/>
          <w:szCs w:val="17"/>
          <w:vertAlign w:val="superscript"/>
        </w:rPr>
        <w:t>2</w:t>
      </w:r>
      <w:r>
        <w:rPr>
          <w:rFonts w:ascii="Open Sans" w:hAnsi="Open Sans" w:cs="Open Sans"/>
          <w:color w:val="000000"/>
          <w:sz w:val="23"/>
          <w:szCs w:val="23"/>
        </w:rPr>
        <w:t>-ге 3 адам), Гайана (4 адам) мен Боливияға (10 адам) тән.</w:t>
      </w:r>
    </w:p>
    <w:p w14:paraId="35B99F1E">
      <w:pPr>
        <w:pStyle w:val="16"/>
        <w:shd w:val="clear" w:color="auto" w:fill="FFFFFF"/>
        <w:spacing w:before="0" w:beforeAutospacing="0" w:after="360" w:afterAutospacing="0"/>
        <w:jc w:val="both"/>
        <w:rPr>
          <w:rFonts w:ascii="Open Sans" w:hAnsi="Open Sans" w:cs="Open Sans"/>
          <w:color w:val="000000"/>
          <w:sz w:val="23"/>
          <w:szCs w:val="23"/>
        </w:rPr>
      </w:pPr>
      <w:r>
        <w:rPr>
          <w:rFonts w:ascii="Open Sans" w:hAnsi="Open Sans" w:cs="Open Sans"/>
          <w:color w:val="000000"/>
          <w:sz w:val="23"/>
          <w:szCs w:val="23"/>
        </w:rPr>
        <w:t>Латын Америкасында урбандалу</w:t>
      </w:r>
      <w:r>
        <w:rPr>
          <w:rStyle w:val="13"/>
          <w:rFonts w:ascii="Open Sans" w:hAnsi="Open Sans" w:cs="Open Sans"/>
          <w:color w:val="000000"/>
          <w:sz w:val="23"/>
          <w:szCs w:val="23"/>
        </w:rPr>
        <w:t> деңгейі </w:t>
      </w:r>
      <w:r>
        <w:rPr>
          <w:rFonts w:ascii="Open Sans" w:hAnsi="Open Sans" w:cs="Open Sans"/>
          <w:color w:val="000000"/>
          <w:sz w:val="23"/>
          <w:szCs w:val="23"/>
        </w:rPr>
        <w:t>жоғары: аймақ халқының 77% -дан астамы қалаларда тұрады. Дегенмен аймақ бойынша «қала халқы» ұғымы бірыңғай жүйеге келтірілмеген. Кейбір елдерде халқының саны белгілі бір мөлшерден асқан елді мекендер (Гондураста 1000, Аргентинада 2000, Венесуэлада 2500 адамнан асқанда) қала деп танылады. Бразилия, Эквадор мен Парагвайда, Гватемала мен Никарагуада тұрғындарының санына қарамастан, кез келген әкімшілік бірліктің орталығы қала дәрежесіне ие болады. Урбандалу деңгейі жөнінен аймақта Уругвайт (94%) мен Аргентина (93%), Венесуэла</w:t>
      </w:r>
      <w:bookmarkStart w:id="1" w:name="_GoBack"/>
      <w:bookmarkEnd w:id="1"/>
      <w:r>
        <w:rPr>
          <w:rFonts w:ascii="Open Sans" w:hAnsi="Open Sans" w:cs="Open Sans"/>
          <w:color w:val="000000"/>
          <w:sz w:val="23"/>
          <w:szCs w:val="23"/>
        </w:rPr>
        <w:t>(89%) мен Чили (87%) жетекші орын алады; бұл елдердегі урбандалу процесіне XX ғасырдың басындағы қоныс аударушылар легі тікелей әсер етті. Аймақтағы көптеген елдерде урбандалу деңгейінің жоғарылауы Екінші дүниежүзілік соғыстан кейінгі кезеңге сәйкес келді. Жаппай индустриялану және елдер экономикасына шетел капиталының құйылуы ауыл тұрғындарының қалаға жаппай қоныс аударуына себепші болды. Қала халқының үлесі төмен елдерге Тринидад және Тобаго (14%) мен Гренада (39%) жатады.</w:t>
      </w:r>
    </w:p>
    <w:p w14:paraId="2D1A01BD">
      <w:pPr>
        <w:pStyle w:val="16"/>
        <w:shd w:val="clear" w:color="auto" w:fill="FFFFFF"/>
        <w:spacing w:before="0" w:beforeAutospacing="0" w:after="360" w:afterAutospacing="0"/>
        <w:jc w:val="both"/>
        <w:rPr>
          <w:rFonts w:ascii="Open Sans" w:hAnsi="Open Sans" w:cs="Open Sans"/>
          <w:color w:val="000000"/>
          <w:sz w:val="23"/>
          <w:szCs w:val="23"/>
        </w:rPr>
      </w:pPr>
      <w:r>
        <w:rPr>
          <w:rFonts w:ascii="Open Sans" w:hAnsi="Open Sans" w:cs="Open Sans"/>
          <w:color w:val="000000"/>
          <w:sz w:val="23"/>
          <w:szCs w:val="23"/>
        </w:rPr>
        <w:t>Латын Америкасына тән бір ерекшелік — «жалған урбандалу», ол жалпы қала халқы үлесінің еңбек ететін экономикалық белсенді қала халқының үлесінен едәуір артық болуымен сипатталады. Өйткені ауыл халқы жаппай ірі қалаларға ңоныс аударғанымен, олардың барлығын бірдей тұрғын үй, жұмыспен қамтамасыз етуге мүмкіндік жоқ. Көптеген ірі қалалардың маңында жоспарсыз, жобасыз бой көтерген жүздеген кедейлер жатағының пайда болуын осы процеспен түсіндіруге болады. Соңғы онжылдықтарда қала агломерациялары жедел қарқынмен қалыптасуда. Аймақта XX ғасырдың соңына қарай 47-ге жуық миллионер қалалар болды, олардың 15-і Бразилия жерінде орналасқан.</w:t>
      </w:r>
    </w:p>
    <w:p w14:paraId="2CA74C56">
      <w:pPr>
        <w:rPr>
          <w:lang w:val="kk-KZ"/>
        </w:rPr>
      </w:pPr>
    </w:p>
    <w:p w14:paraId="57067477">
      <w:pPr>
        <w:rPr>
          <w:lang w:val="kk-KZ"/>
        </w:rPr>
      </w:pPr>
    </w:p>
    <w:p w14:paraId="081200DF">
      <w:pPr>
        <w:rPr>
          <w:lang w:val="kk-KZ"/>
        </w:rPr>
      </w:pPr>
    </w:p>
    <w:p w14:paraId="06328EF1">
      <w:pPr>
        <w:spacing w:after="0"/>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5CA2715D">
      <w:pPr>
        <w:spacing w:after="0" w:line="240" w:lineRule="auto"/>
        <w:rPr>
          <w:rFonts w:ascii="Times New Roman" w:hAnsi="Times New Roman" w:cs="Times New Roman"/>
          <w:sz w:val="20"/>
          <w:szCs w:val="20"/>
          <w:lang w:val="kk-KZ"/>
        </w:rPr>
      </w:pPr>
      <w:r>
        <w:rPr>
          <w:rFonts w:ascii="Times New Roman" w:hAnsi="Times New Roman" w:cs="Times New Roman"/>
          <w:sz w:val="20"/>
          <w:szCs w:val="20"/>
          <w:shd w:val="clear" w:color="auto" w:fill="FFFFFF"/>
          <w:lang w:val="kk-KZ"/>
        </w:rPr>
        <w:t>1.</w:t>
      </w:r>
      <w:r>
        <w:rPr>
          <w:rFonts w:ascii="Times New Roman" w:hAnsi="Times New Roman" w:cs="Times New Roman"/>
          <w:sz w:val="20"/>
          <w:szCs w:val="20"/>
          <w:lang w:val="kk-KZ"/>
        </w:rPr>
        <w:t xml:space="preserve"> Қасым-Жомарт Тоқаев ""Әділетті Қазақстан: заң мен тәртіп, экономикалық өсім, қоғамдық оптимизм" -Астана, 2024 ж. 2 қыркүйек</w:t>
      </w:r>
    </w:p>
    <w:p w14:paraId="5EE3F75E">
      <w:pPr>
        <w:spacing w:after="0" w:line="240" w:lineRule="auto"/>
        <w:rPr>
          <w:rFonts w:ascii="Times New Roman" w:hAnsi="Times New Roman" w:cs="Times New Roman"/>
          <w:b/>
          <w:bCs/>
          <w:sz w:val="20"/>
          <w:szCs w:val="20"/>
        </w:rPr>
      </w:pPr>
      <w:r>
        <w:rPr>
          <w:rFonts w:ascii="Times New Roman" w:hAnsi="Times New Roman" w:cs="Times New Roman"/>
          <w:sz w:val="20"/>
          <w:szCs w:val="20"/>
          <w:lang w:val="kk-KZ"/>
        </w:rPr>
        <w:t>2.</w:t>
      </w:r>
      <w:r>
        <w:rPr>
          <w:rFonts w:ascii="Times New Roman" w:hAnsi="Times New Roman" w:eastAsia="Calibri" w:cs="Times New Roman"/>
          <w:sz w:val="20"/>
          <w:szCs w:val="20"/>
        </w:rPr>
        <w:t>Қазақстан Республикасының Конститутциясы-Астана: Елорда, 2008-56 б.</w:t>
      </w:r>
    </w:p>
    <w:p w14:paraId="6A95B147">
      <w:pPr>
        <w:spacing w:after="0" w:line="240" w:lineRule="auto"/>
        <w:rPr>
          <w:rFonts w:ascii="Times New Roman" w:hAnsi="Times New Roman" w:cs="Times New Roman"/>
          <w:sz w:val="20"/>
          <w:szCs w:val="20"/>
          <w:u w:val="single"/>
        </w:rPr>
      </w:pPr>
      <w:r>
        <w:rPr>
          <w:rFonts w:ascii="Times New Roman" w:hAnsi="Times New Roman" w:cs="Times New Roman"/>
          <w:sz w:val="20"/>
          <w:szCs w:val="20"/>
          <w:lang w:val="kk-KZ"/>
        </w:rPr>
        <w:t>3.</w:t>
      </w:r>
      <w:r>
        <w:rPr>
          <w:rFonts w:ascii="Times New Roman" w:hAnsi="Times New Roman" w:cs="Times New Roman"/>
          <w:sz w:val="20"/>
          <w:szCs w:val="20"/>
        </w:rPr>
        <w:t xml:space="preserve">Қазақстан Республикасын индустриялық-инновациялық дамытудың 2020 – 2025 жылдарға арналған тұжырымдамасы. </w:t>
      </w:r>
      <w:r>
        <w:rPr>
          <w:rFonts w:ascii="Times New Roman" w:hAnsi="Times New Roman" w:eastAsia="Times New Roman" w:cs="Times New Roman"/>
          <w:spacing w:val="2"/>
          <w:sz w:val="20"/>
          <w:szCs w:val="20"/>
          <w:lang w:eastAsia="kk-KZ"/>
        </w:rPr>
        <w:t xml:space="preserve">Қазақстан Республикасы Үкіметінің 2018 жылғы 20 желтоқсандағы № 846 қаулысы. </w:t>
      </w:r>
      <w:r>
        <w:fldChar w:fldCharType="begin"/>
      </w:r>
      <w:r>
        <w:instrText xml:space="preserve"> HYPERLINK "http://www.adilet.zan.kz" </w:instrText>
      </w:r>
      <w:r>
        <w:fldChar w:fldCharType="separate"/>
      </w:r>
      <w:r>
        <w:rPr>
          <w:rFonts w:ascii="Times New Roman" w:hAnsi="Times New Roman" w:eastAsia="Times New Roman" w:cs="Times New Roman"/>
          <w:spacing w:val="2"/>
          <w:sz w:val="20"/>
          <w:szCs w:val="20"/>
          <w:u w:val="single"/>
          <w:lang w:eastAsia="kk-KZ"/>
        </w:rPr>
        <w:t>www.adilet.zan.kz</w:t>
      </w:r>
      <w:r>
        <w:rPr>
          <w:rFonts w:ascii="Times New Roman" w:hAnsi="Times New Roman" w:eastAsia="Times New Roman" w:cs="Times New Roman"/>
          <w:spacing w:val="2"/>
          <w:sz w:val="20"/>
          <w:szCs w:val="20"/>
          <w:u w:val="single"/>
          <w:lang w:eastAsia="kk-KZ"/>
        </w:rPr>
        <w:fldChar w:fldCharType="end"/>
      </w:r>
    </w:p>
    <w:p w14:paraId="0BBEF2B9">
      <w:pPr>
        <w:spacing w:after="0" w:line="240" w:lineRule="auto"/>
        <w:rPr>
          <w:rFonts w:ascii="Times New Roman" w:hAnsi="Times New Roman" w:cs="Times New Roman"/>
          <w:sz w:val="20"/>
          <w:szCs w:val="20"/>
          <w:u w:val="single"/>
        </w:rPr>
      </w:pPr>
      <w:r>
        <w:rPr>
          <w:rFonts w:ascii="Times New Roman" w:hAnsi="Times New Roman" w:cs="Times New Roman"/>
          <w:sz w:val="20"/>
          <w:szCs w:val="20"/>
          <w:lang w:val="kk-KZ" w:eastAsia="kk-KZ"/>
        </w:rPr>
        <w:t>4.</w:t>
      </w:r>
      <w:r>
        <w:rPr>
          <w:rFonts w:ascii="Times New Roman" w:hAnsi="Times New Roman" w:eastAsia="Times New Roman" w:cs="Times New Roman"/>
          <w:sz w:val="20"/>
          <w:szCs w:val="20"/>
          <w:lang w:eastAsia="kk-KZ"/>
        </w:rPr>
        <w:t>Қазақстан Республикасының тұрақты дамуының 2007-2024 жж. арналған тұжырымдамасы</w:t>
      </w:r>
      <w:r>
        <w:rPr>
          <w:rFonts w:ascii="Times New Roman" w:hAnsi="Times New Roman" w:cs="Times New Roman"/>
          <w:sz w:val="20"/>
          <w:szCs w:val="20"/>
        </w:rPr>
        <w:t>//</w:t>
      </w:r>
      <w:r>
        <w:rPr>
          <w:rFonts w:ascii="Times New Roman" w:hAnsi="Times New Roman" w:eastAsia="Times New Roman" w:cs="Times New Roman"/>
          <w:sz w:val="20"/>
          <w:szCs w:val="20"/>
          <w:lang w:eastAsia="kk-KZ"/>
        </w:rPr>
        <w:t>Қазақстан Республикасы Үкіметінің 2018 жылғы 14 қараша № 216 Жарлығы</w:t>
      </w:r>
    </w:p>
    <w:p w14:paraId="37725556">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5.</w:t>
      </w:r>
      <w:r>
        <w:rPr>
          <w:rFonts w:ascii="Times New Roman" w:hAnsi="Times New Roman" w:cs="Times New Roman"/>
          <w:sz w:val="20"/>
          <w:szCs w:val="20"/>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8408B93">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6.</w:t>
      </w:r>
      <w:r>
        <w:rPr>
          <w:rFonts w:ascii="Times New Roman" w:hAnsi="Times New Roman" w:cs="Times New Roman"/>
          <w:sz w:val="20"/>
          <w:szCs w:val="20"/>
        </w:rPr>
        <w:t>Мемлекеттік қызмет туралы Заңы//Қазақстан Республикасы Президентінің 2015 жылғы 23қарашадағы  №416 -V ҚРЗ</w:t>
      </w:r>
    </w:p>
    <w:p w14:paraId="1F375D3F">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7.</w:t>
      </w:r>
      <w:r>
        <w:rPr>
          <w:rFonts w:ascii="Times New Roman" w:hAnsi="Times New Roman" w:cs="Times New Roman"/>
          <w:sz w:val="20"/>
          <w:szCs w:val="20"/>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A01015F">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8.</w:t>
      </w:r>
      <w:r>
        <w:rPr>
          <w:rFonts w:ascii="Times New Roman" w:hAnsi="Times New Roman" w:cs="Times New Roman"/>
          <w:sz w:val="20"/>
          <w:szCs w:val="20"/>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39E57EE">
      <w:pPr>
        <w:spacing w:after="0" w:line="240" w:lineRule="auto"/>
        <w:rPr>
          <w:rFonts w:ascii="Times New Roman" w:hAnsi="Times New Roman" w:cs="Times New Roman" w:eastAsiaTheme="majorEastAsia"/>
          <w:sz w:val="20"/>
          <w:szCs w:val="20"/>
        </w:rPr>
      </w:pPr>
      <w:r>
        <w:rPr>
          <w:rFonts w:ascii="Times New Roman" w:hAnsi="Times New Roman" w:cs="Times New Roman" w:eastAsiaTheme="majorEastAsia"/>
          <w:sz w:val="20"/>
          <w:szCs w:val="20"/>
        </w:rPr>
        <w:t>9.Ғылым және технологиялық саясат туралы /ҚР заңы  2024 жылғы 1 шілдедегі №103-VIII ҚРЗ</w:t>
      </w:r>
    </w:p>
    <w:p w14:paraId="6CA004B3">
      <w:pPr>
        <w:spacing w:after="0" w:line="240" w:lineRule="auto"/>
        <w:rPr>
          <w:rFonts w:ascii="Times New Roman" w:hAnsi="Times New Roman" w:cs="Times New Roman" w:eastAsiaTheme="majorEastAsia"/>
          <w:sz w:val="20"/>
          <w:szCs w:val="20"/>
        </w:rPr>
      </w:pPr>
      <w:r>
        <w:rPr>
          <w:rFonts w:ascii="Times New Roman" w:hAnsi="Times New Roman" w:cs="Times New Roman" w:eastAsiaTheme="majorEastAsia"/>
          <w:sz w:val="20"/>
          <w:szCs w:val="20"/>
        </w:rPr>
        <w:t>10.Алексеев А. А.</w:t>
      </w:r>
      <w:r>
        <w:rPr>
          <w:rFonts w:ascii="Times New Roman" w:hAnsi="Times New Roman" w:cs="Times New Roman" w:eastAsiaTheme="majorEastAsia"/>
          <w:i/>
          <w:iCs/>
          <w:sz w:val="20"/>
          <w:szCs w:val="20"/>
        </w:rPr>
        <w:t> </w:t>
      </w:r>
      <w:r>
        <w:rPr>
          <w:rFonts w:ascii="Times New Roman" w:hAnsi="Times New Roman" w:cs="Times New Roman" w:eastAsiaTheme="majorEastAsia"/>
          <w:sz w:val="20"/>
          <w:szCs w:val="20"/>
        </w:rPr>
        <w:t> Инновационный менеджмент : учебник и практикум для вузов – М. : Юрайт, 2024. -  259 с.</w:t>
      </w:r>
    </w:p>
    <w:p w14:paraId="51E12C8E">
      <w:pPr>
        <w:spacing w:after="0" w:line="240" w:lineRule="auto"/>
        <w:rPr>
          <w:rFonts w:ascii="Times New Roman" w:hAnsi="Times New Roman" w:cs="Times New Roman" w:eastAsiaTheme="majorEastAsia"/>
          <w:sz w:val="20"/>
          <w:szCs w:val="20"/>
        </w:rPr>
      </w:pPr>
      <w:r>
        <w:rPr>
          <w:rFonts w:ascii="Times New Roman" w:hAnsi="Times New Roman" w:cs="Times New Roman" w:eastAsiaTheme="majorEastAsia"/>
          <w:sz w:val="20"/>
          <w:szCs w:val="20"/>
        </w:rPr>
        <w:t>11.Гончаренко Л.П. Инновационная политика -М.: Юрайт, 2024.-229 с.</w:t>
      </w:r>
    </w:p>
    <w:p w14:paraId="46772238">
      <w:pPr>
        <w:spacing w:after="0" w:line="240" w:lineRule="auto"/>
        <w:rPr>
          <w:rFonts w:ascii="Times New Roman" w:hAnsi="Times New Roman" w:cs="Times New Roman"/>
          <w:sz w:val="20"/>
          <w:szCs w:val="20"/>
        </w:rPr>
      </w:pPr>
      <w:r>
        <w:rPr>
          <w:rFonts w:ascii="Times New Roman" w:hAnsi="Times New Roman" w:cs="Times New Roman" w:eastAsiaTheme="majorEastAsia"/>
          <w:sz w:val="20"/>
          <w:szCs w:val="20"/>
        </w:rPr>
        <w:t>12.Киричек А.И., Шпак А.С. Инновационный менеджмент и государственная инновационная политика-М.: КноРус, 2023, - 223 с.</w:t>
      </w:r>
      <w:r>
        <w:rPr>
          <w:rFonts w:ascii="Times New Roman" w:hAnsi="Times New Roman" w:cs="Times New Roman" w:eastAsiaTheme="majorEastAsia"/>
          <w:sz w:val="20"/>
          <w:szCs w:val="20"/>
        </w:rPr>
        <w:br w:type="textWrapping"/>
      </w:r>
      <w:r>
        <w:rPr>
          <w:rFonts w:ascii="Times New Roman" w:hAnsi="Times New Roman" w:cs="Times New Roman"/>
          <w:sz w:val="20"/>
          <w:szCs w:val="20"/>
        </w:rPr>
        <w:t>13.Макрусев В.В. Теория интеллектуализации систем и технологий управления.-М.: Проспект, 2024.- 296 с.</w:t>
      </w:r>
    </w:p>
    <w:p w14:paraId="6368A7FE">
      <w:pPr>
        <w:spacing w:after="0" w:line="240" w:lineRule="auto"/>
        <w:rPr>
          <w:rFonts w:ascii="Times New Roman" w:hAnsi="Times New Roman" w:cs="Times New Roman" w:eastAsiaTheme="majorEastAsia"/>
          <w:sz w:val="20"/>
          <w:szCs w:val="20"/>
        </w:rPr>
      </w:pPr>
      <w:r>
        <w:rPr>
          <w:rFonts w:ascii="Times New Roman" w:hAnsi="Times New Roman" w:cs="Times New Roman" w:eastAsiaTheme="majorEastAsia"/>
          <w:sz w:val="20"/>
          <w:szCs w:val="20"/>
        </w:rPr>
        <w:t>14.Манахова И.В., Пороховски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41019975">
      <w:pPr>
        <w:spacing w:after="0" w:line="240" w:lineRule="auto"/>
        <w:rPr>
          <w:rFonts w:ascii="Times New Roman" w:hAnsi="Times New Roman" w:cs="Times New Roman" w:eastAsiaTheme="majorEastAsia"/>
          <w:sz w:val="20"/>
          <w:szCs w:val="20"/>
        </w:rPr>
      </w:pPr>
      <w:r>
        <w:rPr>
          <w:rFonts w:ascii="Times New Roman" w:hAnsi="Times New Roman" w:cs="Times New Roman" w:eastAsiaTheme="majorEastAsia"/>
          <w:sz w:val="20"/>
          <w:szCs w:val="20"/>
        </w:rPr>
        <w:t>15.Морозов О. А.  Государственная инновационная политика - СПб.: ВШТЭ СПбГУПТД, 2021. - 105 с.</w:t>
      </w:r>
    </w:p>
    <w:p w14:paraId="756903B4">
      <w:pPr>
        <w:spacing w:after="0" w:line="240" w:lineRule="auto"/>
        <w:rPr>
          <w:rFonts w:ascii="Times New Roman" w:hAnsi="Times New Roman" w:cs="Times New Roman"/>
          <w:sz w:val="20"/>
          <w:szCs w:val="20"/>
        </w:rPr>
      </w:pPr>
      <w:r>
        <w:rPr>
          <w:rFonts w:ascii="Times New Roman" w:hAnsi="Times New Roman" w:cs="Times New Roman"/>
          <w:sz w:val="20"/>
          <w:szCs w:val="20"/>
        </w:rPr>
        <w:t>16.Спиридионова Е.А. Управление инновациями-М.: Юрайт, 2024.-314 с.</w:t>
      </w:r>
    </w:p>
    <w:p w14:paraId="58C0074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Қосымша әдебиеттер:</w:t>
      </w:r>
    </w:p>
    <w:p w14:paraId="59E4F9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03161A5">
      <w:pPr>
        <w:spacing w:after="0" w:line="240" w:lineRule="auto"/>
        <w:rPr>
          <w:rFonts w:ascii="Times New Roman" w:hAnsi="Times New Roman" w:cs="Times New Roman"/>
          <w:sz w:val="20"/>
          <w:szCs w:val="20"/>
        </w:rPr>
      </w:pPr>
      <w:r>
        <w:rPr>
          <w:rFonts w:ascii="Times New Roman" w:hAnsi="Times New Roman" w:cs="Times New Roman"/>
          <w:sz w:val="20"/>
          <w:szCs w:val="20"/>
        </w:rPr>
        <w:t>2. Оксфорд  экономика сөздігі  = A Dictionary of Economics (Oxford Quick Reference) : сөздік  -Алматы : "Ұлттық аударма бюросы" ҚҚ, 2019 - 606 б.</w:t>
      </w:r>
    </w:p>
    <w:p w14:paraId="417BDF51">
      <w:pPr>
        <w:spacing w:after="0" w:line="240" w:lineRule="auto"/>
        <w:rPr>
          <w:rFonts w:ascii="Times New Roman" w:hAnsi="Times New Roman" w:cs="Times New Roman"/>
          <w:sz w:val="20"/>
          <w:szCs w:val="20"/>
        </w:rPr>
      </w:pPr>
      <w:r>
        <w:rPr>
          <w:rFonts w:ascii="Times New Roman" w:hAnsi="Times New Roman" w:cs="Times New Roman"/>
          <w:sz w:val="20"/>
          <w:szCs w:val="20"/>
        </w:rPr>
        <w:t>3.Уилтон, Ник. HR-менеджментке кіріспе = An Introduction to Human Resource Management - Алматы: "Ұлттық аударма бюросы" ҚҚ, 2019. — 531 б.</w:t>
      </w:r>
    </w:p>
    <w:p w14:paraId="4833013D">
      <w:pPr>
        <w:spacing w:after="0" w:line="240" w:lineRule="auto"/>
        <w:rPr>
          <w:rFonts w:ascii="Times New Roman" w:hAnsi="Times New Roman" w:cs="Times New Roman"/>
          <w:sz w:val="20"/>
          <w:szCs w:val="20"/>
        </w:rPr>
      </w:pPr>
      <w:r>
        <w:rPr>
          <w:rFonts w:ascii="Times New Roman" w:hAnsi="Times New Roman" w:cs="Times New Roman"/>
          <w:sz w:val="20"/>
          <w:szCs w:val="20"/>
        </w:rPr>
        <w:t>4. Р. У. Гриффин Менеджмент = Management  - Астана: "Ұлттық аударма бюросы" ҚҚ, 2018 - 766 б.</w:t>
      </w:r>
    </w:p>
    <w:p w14:paraId="67C360B1">
      <w:pPr>
        <w:spacing w:after="0" w:line="240" w:lineRule="auto"/>
        <w:rPr>
          <w:rFonts w:ascii="Times New Roman" w:hAnsi="Times New Roman" w:cs="Times New Roman"/>
          <w:sz w:val="20"/>
          <w:szCs w:val="20"/>
        </w:rPr>
      </w:pPr>
      <w:r>
        <w:rPr>
          <w:rFonts w:ascii="Times New Roman" w:hAnsi="Times New Roman" w:cs="Times New Roman"/>
          <w:sz w:val="20"/>
          <w:szCs w:val="20"/>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D6156D8">
      <w:pPr>
        <w:spacing w:after="0" w:line="240" w:lineRule="auto"/>
        <w:rPr>
          <w:rFonts w:ascii="Times New Roman" w:hAnsi="Times New Roman" w:cs="Times New Roman"/>
          <w:sz w:val="20"/>
          <w:szCs w:val="20"/>
        </w:rPr>
      </w:pPr>
      <w:r>
        <w:rPr>
          <w:rFonts w:ascii="Times New Roman" w:hAnsi="Times New Roman" w:cs="Times New Roman"/>
          <w:sz w:val="20"/>
          <w:szCs w:val="20"/>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A4D6F91">
      <w:pPr>
        <w:spacing w:after="0" w:line="240" w:lineRule="auto"/>
        <w:rPr>
          <w:rFonts w:ascii="Times New Roman" w:hAnsi="Times New Roman" w:cs="Times New Roman"/>
          <w:sz w:val="20"/>
          <w:szCs w:val="20"/>
        </w:rPr>
      </w:pPr>
      <w:r>
        <w:rPr>
          <w:rFonts w:ascii="Times New Roman" w:hAnsi="Times New Roman" w:cs="Times New Roman"/>
          <w:sz w:val="20"/>
          <w:szCs w:val="20"/>
        </w:rPr>
        <w:t>7. О’Лири, Зина. Зерттеу жобасын жүргізу: негізгі нұсқаулық : монография - Алматы: "Ұлттық аударма бюросы" ҚҚ, 2020 - 470 б</w:t>
      </w:r>
    </w:p>
    <w:p w14:paraId="77BDD202">
      <w:pPr>
        <w:spacing w:after="0" w:line="240" w:lineRule="auto"/>
        <w:rPr>
          <w:rFonts w:ascii="Times New Roman" w:hAnsi="Times New Roman" w:eastAsia="Times New Roman" w:cs="Times New Roman"/>
          <w:sz w:val="20"/>
          <w:szCs w:val="20"/>
        </w:rPr>
      </w:pPr>
    </w:p>
    <w:p w14:paraId="482E89BE">
      <w:pPr>
        <w:spacing w:after="0" w:line="240" w:lineRule="auto"/>
        <w:rPr>
          <w:rFonts w:ascii="Times New Roman" w:hAnsi="Times New Roman" w:cs="Times New Roman"/>
          <w:sz w:val="20"/>
          <w:szCs w:val="20"/>
        </w:rPr>
      </w:pPr>
      <w:r>
        <w:rPr>
          <w:rFonts w:ascii="Times New Roman" w:hAnsi="Times New Roman" w:cs="Times New Roman"/>
          <w:sz w:val="20"/>
          <w:szCs w:val="20"/>
        </w:rPr>
        <w:t>Интернет-ресурстар:</w:t>
      </w:r>
    </w:p>
    <w:p w14:paraId="3C6710F8">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URL: </w:t>
      </w:r>
      <w:r>
        <w:fldChar w:fldCharType="begin"/>
      </w:r>
      <w:r>
        <w:instrText xml:space="preserve"> HYPERLINK "https://urait.ru/bcode/536010" \t "_blank" </w:instrText>
      </w:r>
      <w:r>
        <w:fldChar w:fldCharType="separate"/>
      </w:r>
      <w:r>
        <w:rPr>
          <w:rFonts w:ascii="Times New Roman" w:hAnsi="Times New Roman" w:cs="Times New Roman"/>
          <w:color w:val="486C97"/>
          <w:sz w:val="20"/>
          <w:szCs w:val="20"/>
          <w:bdr w:val="single" w:color="E5E7EB" w:sz="2" w:space="0"/>
          <w:shd w:val="clear" w:color="auto" w:fill="FFFFFF"/>
        </w:rPr>
        <w:t>https://urait.ru/bcode/536010</w:t>
      </w:r>
      <w:r>
        <w:rPr>
          <w:rFonts w:ascii="Times New Roman" w:hAnsi="Times New Roman" w:cs="Times New Roman"/>
          <w:color w:val="486C97"/>
          <w:sz w:val="20"/>
          <w:szCs w:val="20"/>
          <w:bdr w:val="single" w:color="E5E7EB" w:sz="2" w:space="0"/>
          <w:shd w:val="clear" w:color="auto" w:fill="FFFFFF"/>
        </w:rPr>
        <w:fldChar w:fldCharType="end"/>
      </w:r>
      <w:r>
        <w:rPr>
          <w:rFonts w:ascii="Times New Roman" w:hAnsi="Times New Roman" w:cs="Times New Roman"/>
          <w:sz w:val="20"/>
          <w:szCs w:val="20"/>
          <w:shd w:val="clear" w:color="auto" w:fill="FFFFFF"/>
        </w:rPr>
        <w:t> </w:t>
      </w:r>
    </w:p>
    <w:p w14:paraId="5902D6DB">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URL: </w:t>
      </w:r>
      <w:r>
        <w:fldChar w:fldCharType="begin"/>
      </w:r>
      <w:r>
        <w:instrText xml:space="preserve"> HYPERLINK "https://urait.ru/bcode/540847" \t "_blank" </w:instrText>
      </w:r>
      <w:r>
        <w:fldChar w:fldCharType="separate"/>
      </w:r>
      <w:r>
        <w:rPr>
          <w:rFonts w:ascii="Times New Roman" w:hAnsi="Times New Roman" w:cs="Times New Roman"/>
          <w:color w:val="486C97"/>
          <w:sz w:val="20"/>
          <w:szCs w:val="20"/>
          <w:bdr w:val="single" w:color="E5E7EB" w:sz="2" w:space="0"/>
          <w:shd w:val="clear" w:color="auto" w:fill="FFFFFF"/>
        </w:rPr>
        <w:t>https://urait.ru/bcode/540847</w:t>
      </w:r>
      <w:r>
        <w:rPr>
          <w:rFonts w:ascii="Times New Roman" w:hAnsi="Times New Roman" w:cs="Times New Roman"/>
          <w:color w:val="486C97"/>
          <w:sz w:val="20"/>
          <w:szCs w:val="20"/>
          <w:bdr w:val="single" w:color="E5E7EB" w:sz="2" w:space="0"/>
          <w:shd w:val="clear" w:color="auto" w:fill="FFFFFF"/>
        </w:rPr>
        <w:fldChar w:fldCharType="end"/>
      </w:r>
    </w:p>
    <w:p w14:paraId="5CF96473">
      <w:pPr>
        <w:spacing w:after="0" w:line="240" w:lineRule="auto"/>
        <w:rPr>
          <w:rFonts w:ascii="Times New Roman" w:hAnsi="Times New Roman" w:cs="Times New Roman"/>
          <w:sz w:val="20"/>
          <w:szCs w:val="20"/>
        </w:rPr>
      </w:pPr>
      <w:r>
        <w:rPr>
          <w:rFonts w:ascii="Times New Roman" w:hAnsi="Times New Roman" w:cs="Times New Roman"/>
          <w:sz w:val="20"/>
          <w:szCs w:val="20"/>
        </w:rPr>
        <w:t>URL: </w:t>
      </w:r>
      <w:r>
        <w:fldChar w:fldCharType="begin"/>
      </w:r>
      <w:r>
        <w:instrText xml:space="preserve"> HYPERLINK "https://urait.ru/bcode/536459" \t "_blank" </w:instrText>
      </w:r>
      <w:r>
        <w:fldChar w:fldCharType="separate"/>
      </w:r>
      <w:r>
        <w:rPr>
          <w:rFonts w:ascii="Times New Roman" w:hAnsi="Times New Roman" w:cs="Times New Roman"/>
          <w:color w:val="486C97"/>
          <w:sz w:val="20"/>
          <w:szCs w:val="20"/>
        </w:rPr>
        <w:t>https://urait.ru/bcode/536459</w:t>
      </w:r>
      <w:r>
        <w:rPr>
          <w:rFonts w:ascii="Times New Roman" w:hAnsi="Times New Roman" w:cs="Times New Roman"/>
          <w:color w:val="486C97"/>
          <w:sz w:val="20"/>
          <w:szCs w:val="20"/>
        </w:rPr>
        <w:fldChar w:fldCharType="end"/>
      </w:r>
    </w:p>
    <w:p w14:paraId="668F8843">
      <w:pPr>
        <w:spacing w:after="0" w:line="240" w:lineRule="auto"/>
        <w:rPr>
          <w:rFonts w:ascii="Times New Roman" w:hAnsi="Times New Roman" w:cs="Times New Roman"/>
          <w:sz w:val="20"/>
          <w:szCs w:val="20"/>
        </w:rPr>
      </w:pPr>
    </w:p>
    <w:p w14:paraId="2B6B4F2D">
      <w:pPr>
        <w:spacing w:after="0" w:line="240" w:lineRule="auto"/>
        <w:rPr>
          <w:rFonts w:ascii="Times New Roman" w:hAnsi="Times New Roman" w:cs="Times New Roman"/>
          <w:sz w:val="20"/>
          <w:szCs w:val="20"/>
        </w:rPr>
      </w:pPr>
      <w:r>
        <w:rPr>
          <w:rFonts w:ascii="Times New Roman" w:hAnsi="Times New Roman" w:cs="Times New Roman"/>
          <w:sz w:val="20"/>
          <w:szCs w:val="20"/>
        </w:rPr>
        <w:t>Зерттеушілік инфрақұрылым:</w:t>
      </w:r>
    </w:p>
    <w:p w14:paraId="4EC94D36">
      <w:pPr>
        <w:spacing w:after="0" w:line="240" w:lineRule="auto"/>
        <w:rPr>
          <w:rFonts w:ascii="Times New Roman" w:hAnsi="Times New Roman" w:cs="Times New Roman"/>
          <w:sz w:val="20"/>
          <w:szCs w:val="20"/>
        </w:rPr>
      </w:pPr>
      <w:r>
        <w:rPr>
          <w:rFonts w:ascii="Times New Roman" w:hAnsi="Times New Roman" w:cs="Times New Roman"/>
          <w:sz w:val="20"/>
          <w:szCs w:val="20"/>
        </w:rPr>
        <w:t>Дәріс залы-228</w:t>
      </w:r>
    </w:p>
    <w:p w14:paraId="1BA3DE9F">
      <w:pPr>
        <w:spacing w:after="0" w:line="240" w:lineRule="auto"/>
        <w:rPr>
          <w:rFonts w:ascii="Times New Roman" w:hAnsi="Times New Roman" w:cs="Times New Roman"/>
          <w:sz w:val="20"/>
          <w:szCs w:val="20"/>
        </w:rPr>
      </w:pPr>
      <w:r>
        <w:rPr>
          <w:rFonts w:ascii="Times New Roman" w:hAnsi="Times New Roman" w:cs="Times New Roman"/>
          <w:sz w:val="20"/>
          <w:szCs w:val="20"/>
        </w:rPr>
        <w:t>Аудитория-226</w:t>
      </w:r>
    </w:p>
    <w:p w14:paraId="7625742C"/>
    <w:p w14:paraId="4BDD5C81">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Open Sans">
    <w:altName w:val="Times New Roman"/>
    <w:panose1 w:val="00000000000000000000"/>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EB"/>
    <w:rsid w:val="001632AF"/>
    <w:rsid w:val="00310446"/>
    <w:rsid w:val="003E6D87"/>
    <w:rsid w:val="004313DB"/>
    <w:rsid w:val="005C4F8F"/>
    <w:rsid w:val="00893C12"/>
    <w:rsid w:val="00902413"/>
    <w:rsid w:val="00902BDC"/>
    <w:rsid w:val="00A71765"/>
    <w:rsid w:val="00B72920"/>
    <w:rsid w:val="00C95320"/>
    <w:rsid w:val="00D47BEB"/>
    <w:rsid w:val="00F443FC"/>
    <w:rsid w:val="65B46E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ru-RU" w:eastAsia="ru-RU" w:bidi="ar-SA"/>
      <w14:ligatures w14:val="none"/>
    </w:rPr>
  </w:style>
  <w:style w:type="paragraph" w:styleId="2">
    <w:name w:val="heading 1"/>
    <w:basedOn w:val="1"/>
    <w:next w:val="1"/>
    <w:link w:val="18"/>
    <w:qFormat/>
    <w:uiPriority w:val="9"/>
    <w:pPr>
      <w:keepNext/>
      <w:keepLines/>
      <w:spacing w:before="360" w:after="80" w:line="259" w:lineRule="auto"/>
      <w:outlineLvl w:val="0"/>
    </w:pPr>
    <w:rPr>
      <w:rFonts w:asciiTheme="majorHAnsi" w:hAnsiTheme="majorHAnsi" w:eastAsiaTheme="majorEastAsia" w:cstheme="majorBidi"/>
      <w:color w:val="104862" w:themeColor="accent1" w:themeShade="BF"/>
      <w:kern w:val="2"/>
      <w:sz w:val="40"/>
      <w:szCs w:val="40"/>
      <w:lang w:eastAsia="en-US"/>
      <w14:ligatures w14:val="standardContextual"/>
    </w:rPr>
  </w:style>
  <w:style w:type="paragraph" w:styleId="3">
    <w:name w:val="heading 2"/>
    <w:basedOn w:val="1"/>
    <w:next w:val="1"/>
    <w:link w:val="19"/>
    <w:semiHidden/>
    <w:unhideWhenUsed/>
    <w:qFormat/>
    <w:uiPriority w:val="9"/>
    <w:pPr>
      <w:keepNext/>
      <w:keepLines/>
      <w:spacing w:before="160" w:after="80" w:line="259" w:lineRule="auto"/>
      <w:outlineLvl w:val="1"/>
    </w:pPr>
    <w:rPr>
      <w:rFonts w:asciiTheme="majorHAnsi" w:hAnsiTheme="majorHAnsi" w:eastAsiaTheme="majorEastAsia" w:cstheme="majorBidi"/>
      <w:color w:val="104862" w:themeColor="accent1" w:themeShade="BF"/>
      <w:kern w:val="2"/>
      <w:sz w:val="32"/>
      <w:szCs w:val="32"/>
      <w:lang w:eastAsia="en-US"/>
      <w14:ligatures w14:val="standardContextual"/>
    </w:rPr>
  </w:style>
  <w:style w:type="paragraph" w:styleId="4">
    <w:name w:val="heading 3"/>
    <w:basedOn w:val="1"/>
    <w:next w:val="1"/>
    <w:link w:val="20"/>
    <w:semiHidden/>
    <w:unhideWhenUsed/>
    <w:qFormat/>
    <w:uiPriority w:val="9"/>
    <w:pPr>
      <w:keepNext/>
      <w:keepLines/>
      <w:spacing w:before="160" w:after="80" w:line="259" w:lineRule="auto"/>
      <w:outlineLvl w:val="2"/>
    </w:pPr>
    <w:rPr>
      <w:rFonts w:eastAsiaTheme="majorEastAsia" w:cstheme="majorBidi"/>
      <w:color w:val="104862" w:themeColor="accent1" w:themeShade="BF"/>
      <w:kern w:val="2"/>
      <w:sz w:val="28"/>
      <w:szCs w:val="28"/>
      <w:lang w:eastAsia="en-US"/>
      <w14:ligatures w14:val="standardContextual"/>
    </w:rPr>
  </w:style>
  <w:style w:type="paragraph" w:styleId="5">
    <w:name w:val="heading 4"/>
    <w:basedOn w:val="1"/>
    <w:next w:val="1"/>
    <w:link w:val="21"/>
    <w:semiHidden/>
    <w:unhideWhenUsed/>
    <w:qFormat/>
    <w:uiPriority w:val="9"/>
    <w:pPr>
      <w:keepNext/>
      <w:keepLines/>
      <w:spacing w:before="80" w:after="40" w:line="259" w:lineRule="auto"/>
      <w:outlineLvl w:val="3"/>
    </w:pPr>
    <w:rPr>
      <w:rFonts w:eastAsiaTheme="majorEastAsia" w:cstheme="majorBidi"/>
      <w:i/>
      <w:iCs/>
      <w:color w:val="104862" w:themeColor="accent1" w:themeShade="BF"/>
      <w:kern w:val="2"/>
      <w:lang w:eastAsia="en-US"/>
      <w14:ligatures w14:val="standardContextual"/>
    </w:rPr>
  </w:style>
  <w:style w:type="paragraph" w:styleId="6">
    <w:name w:val="heading 5"/>
    <w:basedOn w:val="1"/>
    <w:next w:val="1"/>
    <w:link w:val="22"/>
    <w:semiHidden/>
    <w:unhideWhenUsed/>
    <w:qFormat/>
    <w:uiPriority w:val="9"/>
    <w:pPr>
      <w:keepNext/>
      <w:keepLines/>
      <w:spacing w:before="80" w:after="40" w:line="259" w:lineRule="auto"/>
      <w:outlineLvl w:val="4"/>
    </w:pPr>
    <w:rPr>
      <w:rFonts w:eastAsiaTheme="majorEastAsia" w:cstheme="majorBidi"/>
      <w:color w:val="104862" w:themeColor="accent1" w:themeShade="BF"/>
      <w:kern w:val="2"/>
      <w:lang w:eastAsia="en-US"/>
      <w14:ligatures w14:val="standardContextual"/>
    </w:rPr>
  </w:style>
  <w:style w:type="paragraph" w:styleId="7">
    <w:name w:val="heading 6"/>
    <w:basedOn w:val="1"/>
    <w:next w:val="1"/>
    <w:link w:val="23"/>
    <w:semiHidden/>
    <w:unhideWhenUsed/>
    <w:qFormat/>
    <w:uiPriority w:val="9"/>
    <w:pPr>
      <w:keepNext/>
      <w:keepLines/>
      <w:spacing w:before="40" w:after="0" w:line="259" w:lineRule="auto"/>
      <w:outlineLvl w:val="5"/>
    </w:pPr>
    <w:rPr>
      <w:rFonts w:eastAsiaTheme="majorEastAsia" w:cstheme="majorBidi"/>
      <w:i/>
      <w:iCs/>
      <w:color w:val="595959" w:themeColor="text1" w:themeTint="A6"/>
      <w:kern w:val="2"/>
      <w:lang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59" w:lineRule="auto"/>
      <w:outlineLvl w:val="6"/>
    </w:pPr>
    <w:rPr>
      <w:rFonts w:eastAsiaTheme="majorEastAsia" w:cstheme="majorBidi"/>
      <w:color w:val="595959" w:themeColor="text1" w:themeTint="A6"/>
      <w:kern w:val="2"/>
      <w:lang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59" w:lineRule="auto"/>
      <w:outlineLvl w:val="7"/>
    </w:pPr>
    <w:rPr>
      <w:rFonts w:eastAsiaTheme="majorEastAsia" w:cstheme="majorBidi"/>
      <w:i/>
      <w:iCs/>
      <w:color w:val="262626" w:themeColor="text1" w:themeTint="D9"/>
      <w:kern w:val="2"/>
      <w:lang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59" w:lineRule="auto"/>
      <w:outlineLvl w:val="8"/>
    </w:pPr>
    <w:rPr>
      <w:rFonts w:eastAsiaTheme="majorEastAsia" w:cstheme="majorBidi"/>
      <w:color w:val="262626" w:themeColor="text1" w:themeTint="D9"/>
      <w:kern w:val="2"/>
      <w:lang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paragraph" w:styleId="16">
    <w:name w:val="Normal (Web)"/>
    <w:basedOn w:val="1"/>
    <w:semiHidden/>
    <w:unhideWhenUsed/>
    <w:uiPriority w:val="99"/>
    <w:pPr>
      <w:spacing w:before="100" w:beforeAutospacing="1" w:after="100" w:afterAutospacing="1"/>
    </w:pPr>
    <w:rPr>
      <w:rFonts w:eastAsia="Times New Roman" w:cs="Times New Roman"/>
      <w:sz w:val="24"/>
      <w:szCs w:val="24"/>
      <w:lang w:eastAsia="ru-RU"/>
    </w:rPr>
  </w:style>
  <w:style w:type="paragraph" w:styleId="17">
    <w:name w:val="Subtitle"/>
    <w:basedOn w:val="1"/>
    <w:next w:val="1"/>
    <w:link w:val="28"/>
    <w:qFormat/>
    <w:uiPriority w:val="11"/>
    <w:pPr>
      <w:spacing w:after="160" w:line="259" w:lineRule="auto"/>
    </w:pPr>
    <w:rPr>
      <w:rFonts w:eastAsiaTheme="majorEastAsia" w:cstheme="majorBidi"/>
      <w:color w:val="595959" w:themeColor="text1" w:themeTint="A6"/>
      <w:spacing w:val="15"/>
      <w:kern w:val="2"/>
      <w:sz w:val="28"/>
      <w:szCs w:val="28"/>
      <w:lang w:eastAsia="en-US"/>
      <w14:textFill>
        <w14:solidFill>
          <w14:schemeClr w14:val="tx1">
            <w14:lumMod w14:val="65000"/>
            <w14:lumOff w14:val="35000"/>
          </w14:schemeClr>
        </w14:solidFill>
      </w14:textFill>
      <w14:ligatures w14:val="standardContextual"/>
    </w:rPr>
  </w:style>
  <w:style w:type="character" w:customStyle="1" w:styleId="18">
    <w:name w:val="Заголовок 1 Знак"/>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Заголовок 2 Знак"/>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22">
    <w:name w:val="Заголовок 5 Знак"/>
    <w:basedOn w:val="11"/>
    <w:link w:val="6"/>
    <w:semiHidden/>
    <w:qFormat/>
    <w:uiPriority w:val="9"/>
    <w:rPr>
      <w:rFonts w:eastAsiaTheme="majorEastAsia" w:cstheme="majorBidi"/>
      <w:color w:val="104862" w:themeColor="accent1" w:themeShade="BF"/>
    </w:rPr>
  </w:style>
  <w:style w:type="character" w:customStyle="1" w:styleId="23">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List Paragraph"/>
    <w:basedOn w:val="1"/>
    <w:qFormat/>
    <w:uiPriority w:val="34"/>
    <w:pPr>
      <w:spacing w:after="160" w:line="259" w:lineRule="auto"/>
      <w:ind w:left="720"/>
      <w:contextualSpacing/>
    </w:pPr>
    <w:rPr>
      <w:rFonts w:eastAsiaTheme="minorHAnsi"/>
      <w:kern w:val="2"/>
      <w:lang w:eastAsia="en-US"/>
      <w14:ligatures w14:val="standardContextual"/>
    </w:rPr>
  </w:style>
  <w:style w:type="paragraph" w:styleId="30">
    <w:name w:val="Quote"/>
    <w:basedOn w:val="1"/>
    <w:next w:val="1"/>
    <w:link w:val="31"/>
    <w:qFormat/>
    <w:uiPriority w:val="29"/>
    <w:pPr>
      <w:spacing w:before="160" w:after="160" w:line="259" w:lineRule="auto"/>
      <w:jc w:val="center"/>
    </w:pPr>
    <w:rPr>
      <w:rFonts w:eastAsiaTheme="minorHAnsi"/>
      <w:i/>
      <w:iCs/>
      <w:color w:val="404040" w:themeColor="text1" w:themeTint="BF"/>
      <w:kern w:val="2"/>
      <w:lang w:eastAsia="en-US"/>
      <w14:textFill>
        <w14:solidFill>
          <w14:schemeClr w14:val="tx1">
            <w14:lumMod w14:val="75000"/>
            <w14:lumOff w14:val="25000"/>
          </w14:schemeClr>
        </w14:solidFill>
      </w14:textFill>
      <w14:ligatures w14:val="standardContextual"/>
    </w:rPr>
  </w:style>
  <w:style w:type="character" w:customStyle="1" w:styleId="31">
    <w:name w:val="Цитата 2 Знак"/>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eastAsiaTheme="minorHAnsi"/>
      <w:i/>
      <w:iCs/>
      <w:color w:val="104862" w:themeColor="accent1" w:themeShade="BF"/>
      <w:kern w:val="2"/>
      <w:lang w:eastAsia="en-US"/>
      <w14:ligatures w14:val="standardContextual"/>
    </w:rPr>
  </w:style>
  <w:style w:type="character" w:customStyle="1" w:styleId="33">
    <w:name w:val="Выделенная цитата Знак"/>
    <w:basedOn w:val="11"/>
    <w:link w:val="32"/>
    <w:uiPriority w:val="30"/>
    <w:rPr>
      <w:i/>
      <w:iCs/>
      <w:color w:val="104862" w:themeColor="accent1" w:themeShade="BF"/>
    </w:rPr>
  </w:style>
  <w:style w:type="character" w:customStyle="1" w:styleId="34">
    <w:name w:val="Intense Emphasis"/>
    <w:basedOn w:val="11"/>
    <w:qFormat/>
    <w:uiPriority w:val="21"/>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610</Words>
  <Characters>3477</Characters>
  <Lines>28</Lines>
  <Paragraphs>8</Paragraphs>
  <TotalTime>0</TotalTime>
  <ScaleCrop>false</ScaleCrop>
  <LinksUpToDate>false</LinksUpToDate>
  <CharactersWithSpaces>4079</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2024-09-10T17:38:00Z</dcterms:created>
  <dc:creator>Onalbek Abraliyev</dc:creator>
  <cp:lastModifiedBy>user</cp:lastModifiedBy>
  <dcterms:modified xsi:type="dcterms:W3CDTF">2024-09-12T02:16:51Z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8D582B304AAF4C1DAE04790FD3BA52FC_12</vt:lpwstr>
  </property>
</Properties>
</file>